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tabs>
          <w:tab w:val="left" w:pos="9921"/>
        </w:tabs>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default" w:ascii="黑体" w:hAnsi="黑体" w:eastAsia="黑体" w:cs="黑体"/>
          <w:bCs/>
          <w:color w:val="FF0000"/>
          <w:sz w:val="30"/>
          <w:szCs w:val="30"/>
          <w:lang w:val="en-US" w:eastAsia="zh-CN"/>
        </w:rPr>
      </w:pPr>
      <w:r>
        <w:rPr>
          <w:rFonts w:hint="eastAsia" w:ascii="黑体" w:hAnsi="黑体" w:eastAsia="黑体" w:cs="黑体"/>
          <w:bCs/>
          <w:sz w:val="30"/>
          <w:szCs w:val="30"/>
          <w:lang w:val="en-US" w:eastAsia="zh-CN"/>
        </w:rPr>
        <w:t>采购项目编号：TZZFBJC2022003</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w:t>
      </w:r>
      <w:r>
        <w:rPr>
          <w:rFonts w:hint="eastAsia" w:ascii="黑体" w:hAnsi="黑体" w:eastAsia="黑体" w:cs="黑体"/>
          <w:bCs/>
          <w:color w:val="000000" w:themeColor="text1"/>
          <w:sz w:val="30"/>
          <w:szCs w:val="30"/>
          <w:lang w:eastAsia="zh-CN"/>
          <w14:textFill>
            <w14:solidFill>
              <w14:schemeClr w14:val="tx1"/>
            </w14:solidFill>
          </w14:textFill>
        </w:rPr>
        <w:t>泰州市政府网站内容保障服务</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采购人：泰州市人民政府办公室</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z w:val="30"/>
          <w:szCs w:val="30"/>
          <w:lang w:val="en-US" w:eastAsia="zh-CN"/>
          <w14:textFill>
            <w14:solidFill>
              <w14:schemeClr w14:val="tx1"/>
            </w14:solidFill>
          </w14:textFill>
        </w:rPr>
      </w:pPr>
      <w:r>
        <w:rPr>
          <w:rFonts w:hint="eastAsia" w:ascii="黑体" w:hAnsi="黑体" w:eastAsia="黑体" w:cs="黑体"/>
          <w:bCs/>
          <w:color w:val="000000" w:themeColor="text1"/>
          <w:sz w:val="30"/>
          <w:szCs w:val="30"/>
          <w:lang w:val="en-US" w:eastAsia="zh-CN"/>
          <w14:textFill>
            <w14:solidFill>
              <w14:schemeClr w14:val="tx1"/>
            </w14:solidFill>
          </w14:textFill>
        </w:rPr>
        <w:t>二〇二二年四月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ind w:firstLine="2880" w:firstLineChars="600"/>
        <w:textAlignment w:val="auto"/>
        <w:rPr>
          <w:rFonts w:hint="eastAsia"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48"/>
          <w14:textFill>
            <w14:solidFill>
              <w14:schemeClr w14:val="tx1"/>
            </w14:solidFill>
          </w14:textFill>
        </w:rPr>
      </w:pP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lang w:eastAsia="zh-CN"/>
          <w14:textFill>
            <w14:solidFill>
              <w14:schemeClr w14:val="tx1"/>
            </w14:solidFill>
          </w14:textFill>
        </w:rPr>
        <w:t>磋商</w:t>
      </w:r>
      <w:r>
        <w:rPr>
          <w:rFonts w:hint="eastAsia" w:ascii="黑体" w:hAnsi="黑体" w:eastAsia="黑体" w:cs="黑体"/>
          <w:bCs/>
          <w:color w:val="000000" w:themeColor="text1"/>
          <w:sz w:val="30"/>
          <w:szCs w:val="30"/>
          <w14:textFill>
            <w14:solidFill>
              <w14:schemeClr w14:val="tx1"/>
            </w14:solidFill>
          </w14:textFill>
        </w:rPr>
        <w:t>邀请函</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lang w:eastAsia="zh-CN"/>
          <w14:textFill>
            <w14:solidFill>
              <w14:schemeClr w14:val="tx1"/>
            </w14:solidFill>
          </w14:textFill>
        </w:rPr>
        <w:t>供应商</w:t>
      </w:r>
      <w:r>
        <w:rPr>
          <w:rFonts w:hint="eastAsia" w:ascii="黑体" w:hAnsi="黑体" w:eastAsia="黑体" w:cs="黑体"/>
          <w:bCs/>
          <w:color w:val="000000" w:themeColor="text1"/>
          <w:sz w:val="30"/>
          <w:szCs w:val="30"/>
          <w14:textFill>
            <w14:solidFill>
              <w14:schemeClr w14:val="tx1"/>
            </w14:solidFill>
          </w14:textFill>
        </w:rPr>
        <w:t>须知</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一．磋商邀请函</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我单位对泰州市政府网站驻场服务项目进行竞争性磋商采购，欢迎符合相关条件的供应商参加磋商并提请注意下列相关事项：</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（一）采购项目信息</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1.项目名称：泰州市政府网站内容保障服务</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2.项目编号：TZZFBJC2022003</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3.项目预算：20万元</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4.采购方式：竞争性磋商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5.采购人：泰州市人民政府办公室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（二）供应商资格要求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1.具备《中华人民共和国政府采购法》第二十二条第一款规定的条件；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2.未被“信用中国”网站（www.creditchina.gov.cn）列入失信执行人、重大税收违法案件当事人名单、政府采购严重违法失信行为记录名单；</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3.具备采购人根据采购项目的特殊要求规定的以下特定条件：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4.不接受联合体投标</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（三）磋商时间、地点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磋商文件接收开始时间：2022年4月19日 9:00</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磋商文件接收截止时间：2022年4月19日 9:30，磋商截止时间后的磋商文件恕不接受</w:t>
      </w:r>
    </w:p>
    <w:p>
      <w:pPr>
        <w:ind w:firstLine="560" w:firstLineChars="200"/>
        <w:rPr>
          <w:rFonts w:hint="eastAsia"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w:t>
      </w:r>
      <w:r>
        <w:rPr>
          <w:rFonts w:hint="eastAsia" w:ascii="黑体" w:hAnsi="黑体" w:eastAsia="黑体" w:cs="黑体"/>
          <w:color w:val="000000" w:themeColor="text1"/>
          <w:sz w:val="28"/>
          <w:szCs w:val="28"/>
          <w:lang w:val="en-US" w:eastAsia="zh-CN"/>
          <w14:textFill>
            <w14:solidFill>
              <w14:schemeClr w14:val="tx1"/>
            </w14:solidFill>
          </w14:textFill>
        </w:rPr>
        <w:t>泰州市机关大院（泰州市海陵区凤凰东路58号）</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（四）响应文件份数：响应文件一式三份，其中正本一份，副本二份。</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（五）磋商有效期：磋商之日起90天</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FF0000"/>
          <w:sz w:val="28"/>
          <w:szCs w:val="28"/>
          <w:lang w:val="en-US" w:eastAsia="zh-CN"/>
        </w:rPr>
      </w:pPr>
      <w:r>
        <w:rPr>
          <w:rFonts w:hint="eastAsia" w:ascii="黑体" w:hAnsi="黑体" w:eastAsia="黑体" w:cs="黑体"/>
          <w:color w:val="FF0000"/>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ind w:firstLine="600" w:firstLineChars="200"/>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二．供应商须知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（一）遵循原则：</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公开透明原则、公平竞争原则、公正原则和诚实信用原则。</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（二）采购文件：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1、采购文件包括本文件目录所列全部内容，供应商应仔细阅读，并在响应文件中充分响应采购文件的所有要求。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2、采购文件中的“法定代表人”是指供应商的营业执照或相关部门的登记证明文件中的“法定代表人”或“负责人”。</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4、采购文件仅作为本次磋商使用。</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（三） 采购文件的解释：</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本文件的最终解释权归泰州市人民政府办公室。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 xml:space="preserve">（四） 采购文件的补充或修正：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1、在磋商截止时间5日前泰州市人民政府办公室可对采购文件进行必要的澄清或者修改，不足5日的，将顺延提交响应文件的截止时间。</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（五） 响应文件的组成：</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1、响应函（格式见附件）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2、资格、资信证明文件：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（1）关于资格的声明函（格式见附件）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（2）具有独立承担民事责任能力的供应商营业执照或相关部门的登记证明文件复印件；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（3）供应商法定代表人授权委托书（格式见附件，法定代表人亲自参加磋商的除外）；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（4）供应商法定代表人身份证复印件；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（5）供应商法定代表人授权代表身份证复印件（法定代表人亲自参加磋商的除外）；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（6）供应商近三个月中任意一个月份(不含磋商当月) 的财务状况报告（资产负债表和利润表）或由会计师事务所出具的近两年中任意一个年度的审计报告和所附已审财务报告复印件；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（7）供应商近三个月中任意一个月份(不含磋商当月) 的依法缴纳税收的相关材料（提供相关主管部门证明或银行代扣证明）复印件；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（8）供应商近三个月中任意一个月份(不含磋商当月)的依法缴纳社会保障资金的相关材料（提供相关主管部门证明或银行代扣证明）复印件；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（9）承诺书（格式见附件）；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（10）采购人要求的特定资质证明复印件（详见“磋商邀请函”-“供应商资格要求”之3中要求）。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3、报价一览表</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4、明细报价及采购需求响应表（格式见附件）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5、评分标准中对应的其它所需证明材料（如有自行添加）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6、要求采购人提供的配合（如有自拟并自行添加）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7、其它（供应商认为有必要提供的声明和文件，如有自拟并自行添加）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（六） 响应文件的制作：</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1、所有文件、往来函件均应使用简体中文（规格、型号辅助符号例外）。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3、如无特别说明，供应商参与磋商一律以人民币为结算货币,结算单位为“元”。</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4、响应文件应用不褪色的墨水书写或打印。</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5、响应文件应按照“响应文件的组成”顺序制作，并编制目录、页码，装订成册。</w:t>
      </w:r>
    </w:p>
    <w:p>
      <w:pPr>
        <w:keepNext w:val="0"/>
        <w:keepLines w:val="0"/>
        <w:pageBreakBefore w:val="0"/>
        <w:kinsoku/>
        <w:wordWrap/>
        <w:overflowPunct/>
        <w:topLinePunct w:val="0"/>
        <w:autoSpaceDE/>
        <w:autoSpaceDN/>
        <w:bidi w:val="0"/>
        <w:adjustRightInd/>
        <w:snapToGrid/>
        <w:spacing w:line="240" w:lineRule="auto"/>
        <w:ind w:firstLine="562" w:firstLineChars="200"/>
        <w:textAlignment w:val="auto"/>
        <w:rPr>
          <w:rFonts w:hint="eastAsia" w:ascii="黑体" w:hAnsi="黑体" w:eastAsia="黑体" w:cs="黑体"/>
          <w:b/>
          <w:bCs/>
          <w:color w:val="000000" w:themeColor="text1"/>
          <w:sz w:val="28"/>
          <w:szCs w:val="28"/>
          <w:lang w:val="en-US" w:eastAsia="zh-CN"/>
          <w14:textFill>
            <w14:solidFill>
              <w14:schemeClr w14:val="tx1"/>
            </w14:solidFill>
          </w14:textFill>
        </w:rPr>
      </w:pPr>
      <w:r>
        <w:rPr>
          <w:rFonts w:hint="eastAsia" w:ascii="黑体" w:hAnsi="黑体" w:eastAsia="黑体" w:cs="黑体"/>
          <w:b/>
          <w:bCs/>
          <w:color w:val="000000" w:themeColor="text1"/>
          <w:sz w:val="28"/>
          <w:szCs w:val="28"/>
          <w:lang w:val="en-US" w:eastAsia="zh-CN"/>
          <w14:textFill>
            <w14:solidFill>
              <w14:schemeClr w14:val="tx1"/>
            </w14:solidFill>
          </w14:textFill>
        </w:rPr>
        <w:t>6、响应文件一式三份，其中正本一份，副本二份，并注明“正本”、“副本”字样，密封，同时注明项目名称及编号并加盖公章。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7、响应文件不应有涂改、增删和潦草之处，如有必须修改时，修改处必须有供应商盖章、法定代表人或法定代表人授权代表的签字。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8、磋商费用自理。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（七） 无效响应文件的确认：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供应商有下列情况之一者，其响应文件无效：</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1、响应文件未按规定的期限、地点送达的；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2、响应文件未按要求密封、签署、盖章的；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3、供应商的法定代表人或法定代表人授权代表，未准时参加磋商会议的；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4、供应商的法定代表人授权代表，无法定代表人授权委托书的；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5、不具备采购文件中规定的资格要求或未按采购文件规定的要求提供资格、资信证明文件的；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6、被“信用中国”网站（</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"http://www.creditchina.gov.cn"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www.creditchina.gov.cn</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）列入失信执行人、重大税收违法案件当事人名单、政府采购严重违法失信行为记录名单的；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7、响应文件未按采购文件规定的内容和要求填写的；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8、响应文件书写潦草、字迹模糊不清、无法辨认的；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9、响应文件中有采购文件未允许提供的选择性内容的；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10、不同供应商委托同一单位或者个人办理磋商事宜的；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11、不同供应商的单位负责人为同一人或者存在直接控股、管理关系的；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15、项目（标段）总报价超过本项目（标段）预算或最高限价的；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16、提供虚假材料的（包括工商营业执照、财务报表、资格证明文件等）；</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17、磋商小组认定供应商报价明显不合理，有可能影响商品质量和不能诚信履约的；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18、除单一来源采购项目外，为采购项目提供整体设计、规范编制或者项目管理、监理、检测等服务的；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19、响应文件内容不全或不符合采购文件中规定的其它实质性要求的；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20、法律法规和采购文件规定的其它无效情形。</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0" w:name="_Toc534555652"/>
      <w:r>
        <w:rPr>
          <w:rFonts w:hint="eastAsia" w:ascii="黑体" w:hAnsi="黑体" w:eastAsia="黑体" w:cs="黑体"/>
          <w:color w:val="000000" w:themeColor="text1"/>
          <w:sz w:val="28"/>
          <w:szCs w:val="28"/>
          <w:lang w:val="en-US" w:eastAsia="zh-CN"/>
          <w14:textFill>
            <w14:solidFill>
              <w14:schemeClr w14:val="tx1"/>
            </w14:solidFill>
          </w14:textFill>
        </w:rPr>
        <w:t>（八） 磋商、评审：</w:t>
      </w:r>
      <w:bookmarkEnd w:id="0"/>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磋商、评审工作由泰州市人民政府办公室负责组织。</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具体磋商、评审事务由依法组建的磋商小组负责。如有争议最终由磋商小组认定。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1、响应文件的审查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（1）报价一览表内容与明细表内容不一致的，以报价一览表为准。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（2）正本与副本不符，以正本为准。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2、磋商、评审程序</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 xml:space="preserve">（1）响应文件初审。初审分为资格性检查和符合性检查。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①资格性检查。依据法律法规和采购文件的规定，对响应文件中的资格证明等进行审查；通过“信用中国”网站（</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"http://www.creditchina.gov.cn"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www.creditchina.gov.cn</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（3）磋商小组讨论、确定磋商程序和磋商内容。</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（4）磋商小组集中与单一供应商分别进行磋商。磋商轮次由磋商小组视情况决定。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 评审方法</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通过初审和磋商，并提交最后报价的供应商，可进入综合评分阶段。</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 评分标准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详见附件。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1" w:name="_Toc534555653"/>
      <w:r>
        <w:rPr>
          <w:rFonts w:hint="eastAsia" w:ascii="黑体" w:hAnsi="黑体" w:eastAsia="黑体" w:cs="黑体"/>
          <w:color w:val="000000" w:themeColor="text1"/>
          <w:sz w:val="28"/>
          <w:szCs w:val="28"/>
          <w:lang w:val="en-US" w:eastAsia="zh-CN"/>
          <w14:textFill>
            <w14:solidFill>
              <w14:schemeClr w14:val="tx1"/>
            </w14:solidFill>
          </w14:textFill>
        </w:rPr>
        <w:t>（九） 确定成交供应商：</w:t>
      </w:r>
      <w:bookmarkEnd w:id="1"/>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1、磋商小组根据采购文件规定的评审方法和评分标准进行评审，按采购文件的要求依法确定成交供应商。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"http://download.ccgp.gov.cn/2018/zhiyihanfanben.zip" \t "_blank"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政府采购供应商质疑函范本</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3、泰州市人民政府办公室向成交方发成交通知书。</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2" w:name="_Toc534555654"/>
      <w:r>
        <w:rPr>
          <w:rFonts w:hint="eastAsia" w:ascii="黑体" w:hAnsi="黑体" w:eastAsia="黑体" w:cs="黑体"/>
          <w:color w:val="000000" w:themeColor="text1"/>
          <w:sz w:val="28"/>
          <w:szCs w:val="28"/>
          <w:lang w:val="en-US" w:eastAsia="zh-CN"/>
          <w14:textFill>
            <w14:solidFill>
              <w14:schemeClr w14:val="tx1"/>
            </w14:solidFill>
          </w14:textFill>
        </w:rPr>
        <w:t>（十）采购终止：</w:t>
      </w:r>
      <w:bookmarkEnd w:id="2"/>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在竞争性磋商采购中，出现下列情况之一的，本次采购活动终止：</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1、因情况变化，不再符合规定的竞争性磋商采购方式适用情形的；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2、出现影响采购公正的违法、违规行为的；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4、在采购活动中因重大变故，采购任务取消的。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3" w:name="_Toc534555655"/>
      <w:r>
        <w:rPr>
          <w:rFonts w:hint="eastAsia" w:ascii="黑体" w:hAnsi="黑体" w:eastAsia="黑体" w:cs="黑体"/>
          <w:color w:val="000000" w:themeColor="text1"/>
          <w:sz w:val="28"/>
          <w:szCs w:val="28"/>
          <w:lang w:val="en-US" w:eastAsia="zh-CN"/>
          <w14:textFill>
            <w14:solidFill>
              <w14:schemeClr w14:val="tx1"/>
            </w14:solidFill>
          </w14:textFill>
        </w:rPr>
        <w:t>（十一）</w:t>
      </w:r>
      <w:bookmarkEnd w:id="3"/>
      <w:r>
        <w:rPr>
          <w:rFonts w:hint="eastAsia" w:ascii="黑体" w:hAnsi="黑体" w:eastAsia="黑体" w:cs="黑体"/>
          <w:color w:val="000000" w:themeColor="text1"/>
          <w:sz w:val="28"/>
          <w:szCs w:val="28"/>
          <w:lang w:val="en-US" w:eastAsia="zh-CN"/>
          <w14:textFill>
            <w14:solidFill>
              <w14:schemeClr w14:val="tx1"/>
            </w14:solidFill>
          </w14:textFill>
        </w:rPr>
        <w:t>行政处罚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 成交供应商有下列情形之一的，必须限期改正，情节严重的，列入不良行为记录名单，在1至3年内禁止参加政府采购活动，并予以通报：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（1）未按照采购文件确定的事项签订政府采购合同，或者与采购人另行订立背离合同实质性内容的协议的；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（2）成交后无正当理由不与采购人签订合同的；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（3）拒绝履行合同义务的。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4" w:name="_Toc534555656"/>
      <w:r>
        <w:rPr>
          <w:rFonts w:hint="eastAsia" w:ascii="黑体" w:hAnsi="黑体" w:eastAsia="黑体" w:cs="黑体"/>
          <w:color w:val="000000" w:themeColor="text1"/>
          <w:sz w:val="28"/>
          <w:szCs w:val="28"/>
          <w:lang w:val="en-US" w:eastAsia="zh-CN"/>
          <w14:textFill>
            <w14:solidFill>
              <w14:schemeClr w14:val="tx1"/>
            </w14:solidFill>
          </w14:textFill>
        </w:rPr>
        <w:t>（十二）签订、履行合同：</w:t>
      </w:r>
      <w:bookmarkEnd w:id="4"/>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5" w:name="_Toc534555657"/>
      <w:r>
        <w:rPr>
          <w:rFonts w:hint="eastAsia" w:ascii="黑体" w:hAnsi="黑体" w:eastAsia="黑体" w:cs="黑体"/>
          <w:color w:val="000000" w:themeColor="text1"/>
          <w:sz w:val="28"/>
          <w:szCs w:val="28"/>
          <w:lang w:val="en-US" w:eastAsia="zh-CN"/>
          <w14:textFill>
            <w14:solidFill>
              <w14:schemeClr w14:val="tx1"/>
            </w14:solidFill>
          </w14:textFill>
        </w:rPr>
        <w:t>（十三）成交服务费：</w:t>
      </w:r>
      <w:bookmarkEnd w:id="5"/>
      <w:r>
        <w:rPr>
          <w:rFonts w:hint="eastAsia" w:ascii="黑体" w:hAnsi="黑体" w:eastAsia="黑体" w:cs="黑体"/>
          <w:color w:val="000000" w:themeColor="text1"/>
          <w:sz w:val="28"/>
          <w:szCs w:val="28"/>
          <w:lang w:val="en-US" w:eastAsia="zh-CN"/>
          <w14:textFill>
            <w14:solidFill>
              <w14:schemeClr w14:val="tx1"/>
            </w14:solidFill>
          </w14:textFill>
        </w:rPr>
        <w:t>无。</w:t>
      </w:r>
      <w:bookmarkStart w:id="6" w:name="三．项目技术配置和有关说明"/>
      <w:bookmarkEnd w:id="6"/>
      <w:bookmarkStart w:id="7" w:name="四．合同书"/>
      <w:bookmarkEnd w:id="7"/>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三、项目技术要求与有关说明</w:t>
      </w: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一、详尽的技术及服务要求</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（一）泰州要闻和视频新闻栏目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新闻报道具有传递信息的作用，能够实现政府和公众的信息交流和沟通。传统媒体为政府政策的讨论和制定提供了良好的信息交流平台。政府从传统媒体获得社会上的有关信息和问题，然后通过媒体反馈意见，使政府和公众进行充分的交流和讨论，从而在最大程度上保障了群众的利益。</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泰州要闻和视频新闻两个栏目不仅能够为公众提供更多有效的新闻信息，而且通过新闻报道，让更多公众了解时政信息，关注社会民生问题。</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1、泰州要闻</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为了让公众随时了解泰州最新的新闻动态，需要及时发布新闻信息。要求每日自主从官方新闻网获取最新时政内容，按照新闻格式录入后台，录入人员需要具备一定的新闻素养和图片处理能力。</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2、视频新闻</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每日自主从官方新闻网获取最新视频新闻，并及时发布至市政府后台，录入人员需具备一定软件开发基础，掌握基本的超文本标记语言。</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（二）新闻发布会栏目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泰州市政府通过新闻发布会来发布信息，执行政务公开，满足群众知情权需求。其中新闻发布会栏目包括发布预告、最新发布、媒体报道、图说现场和视频播报这五个方面。</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1、发布预告</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将泰州市政府网站提供新闻发布会预告信息录入后台，要求录入及时，排版简洁明了。</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2、最新发布</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新闻发布会时效性强，需要现场拍摄新闻发布会照片，并及时录入后台，要求按照固定排版样式，录入人员需要具备一定的新闻素养和图片处理能力。</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3、媒体报道</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媒体报道是将突发事件传递到大众面前的最重要途径，根据所提供的内容录入后台，录入人员需要具备一定的新闻素养。</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4、图说现场</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图说现场是为了更进一步让公众了解整个新闻发布会，通过图片还原新闻发布会整个过程。需要对所提供图片的尺寸进行初步处理，再进行编辑录入，录入人员需要具备一定的图片处理能力。</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5、视频播报</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按照发布会内容，将凤城泰州网上相关视频内容编辑录入到市政府后台。</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（三）意见征集栏目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为更好地倾听民声、收集民意、汇集民智，统筹推进经济社会发展，泰州市政府开设了意见征集栏目，公众可以随时对政府工作提出建议。根据提供的内容在调查征集系统进行编辑录入，要求录入人员对所提供的内容若涉及到敏感词或错别字需要及时改正，同时需要定期查看是否有反馈意见，并及时向市政府相关人员上报。</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（四）网上调查栏目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为了了解社情民意，更好地服务于人民，做到让人民满意的“服务型”政府，泰州市政府定期开展各方面的调查问卷，来了解公众对泰州的满意度。根据提供的内容在调查征集系统进行编辑录入，要求录入人员选择合适的模板样式，并按照固定格式进行编辑录入，录入人员需要具备一定的新闻素养和图片处理能力，并掌握基本的超文本标记语言。</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（五）在线访谈栏目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在线访谈栏目以图、文为主，更便捷有效地传递信息，根据社会热点问题以及民众关心的问题，进行“面对面”交流。现场拍摄照片，并及时发布图片直播和文字实录。</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（六）网上直播栏目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网上直播栏目以图文直播和视频直播为主，由主持人主持直播，传递直播内容，实现民众和政府网上互动信息实时交流。</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1、网上直播</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网上直播栏目是以图文直播形式展开，需要现场拍摄照片，并及时发布直播图文信息。</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2、视频直播</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视频直播采用直播方式实时进行。不仅可以给公众传递信息，也可以在线随时互动。需要现场拍摄照片并及时录入后台，录入人员需要熟练掌握超文本标记语言和具备图片处理的能力。</w:t>
      </w:r>
    </w:p>
    <w:p>
      <w:pP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二、采购项目完工期或交货期：合同签订后1年。</w:t>
      </w:r>
    </w:p>
    <w:p>
      <w:pP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三、采购项目交付或执行的地点：泰州市。</w:t>
      </w:r>
    </w:p>
    <w:p>
      <w:pP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四、交付方式及说明</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合同签订后，支付合同价款的60%；</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服务期满，由甲方组织验收，验收通过后支付合同总额的4</w:t>
      </w:r>
      <w:bookmarkStart w:id="23" w:name="_GoBack"/>
      <w:bookmarkEnd w:id="23"/>
      <w:r>
        <w:rPr>
          <w:rFonts w:hint="eastAsia" w:ascii="宋体" w:hAnsi="宋体" w:eastAsia="宋体" w:cs="宋体"/>
          <w:color w:val="000000" w:themeColor="text1"/>
          <w:sz w:val="28"/>
          <w:szCs w:val="28"/>
          <w:lang w:val="en-US" w:eastAsia="zh-CN"/>
          <w14:textFill>
            <w14:solidFill>
              <w14:schemeClr w14:val="tx1"/>
            </w14:solidFill>
          </w14:textFill>
        </w:rPr>
        <w:t>0%。</w:t>
      </w:r>
    </w:p>
    <w:p>
      <w:pPr>
        <w:ind w:firstLine="560" w:firstLineChars="200"/>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（因为财政相关原因不能及时支付的，可以延期付款，甲方不构成违约。）</w:t>
      </w:r>
      <w:r>
        <w:rPr>
          <w:rFonts w:hint="eastAsia" w:ascii="黑体" w:hAnsi="黑体" w:eastAsia="黑体" w:cs="黑体"/>
          <w:color w:val="000000" w:themeColor="text1"/>
          <w:sz w:val="30"/>
          <w:szCs w:val="30"/>
          <w:lang w:val="en-US" w:eastAsia="zh-CN"/>
          <w14:textFill>
            <w14:solidFill>
              <w14:schemeClr w14:val="tx1"/>
            </w14:solidFill>
          </w14:textFill>
        </w:rPr>
        <w:br w:type="page"/>
      </w:r>
    </w:p>
    <w:p>
      <w:pPr>
        <w:pStyle w:val="2"/>
        <w:keepNext w:val="0"/>
        <w:pageBreakBefore/>
        <w:rPr>
          <w:rFonts w:ascii="Times New Roman" w:hAnsi="Times New Roman" w:eastAsia="黑体"/>
          <w:b w:val="0"/>
          <w:bCs/>
          <w:color w:val="000000" w:themeColor="text1"/>
          <w14:textFill>
            <w14:solidFill>
              <w14:schemeClr w14:val="tx1"/>
            </w14:solidFill>
          </w14:textFill>
        </w:rPr>
      </w:pPr>
      <w:r>
        <w:rPr>
          <w:rFonts w:hint="eastAsia" w:ascii="Times New Roman" w:hAnsi="Times New Roman" w:eastAsia="黑体"/>
          <w:b w:val="0"/>
          <w:bCs/>
          <w:color w:val="000000" w:themeColor="text1"/>
          <w14:textFill>
            <w14:solidFill>
              <w14:schemeClr w14:val="tx1"/>
            </w14:solidFill>
          </w14:textFill>
        </w:rPr>
        <w:t>四．</w:t>
      </w:r>
      <w:r>
        <w:rPr>
          <w:rFonts w:hint="eastAsia" w:ascii="Times New Roman" w:hAnsi="Times New Roman" w:eastAsia="黑体"/>
          <w:b w:val="0"/>
          <w:color w:val="000000" w:themeColor="text1"/>
          <w14:textFill>
            <w14:solidFill>
              <w14:schemeClr w14:val="tx1"/>
            </w14:solidFill>
          </w14:textFill>
        </w:rPr>
        <w:t>合同书（格式文本）</w:t>
      </w:r>
    </w:p>
    <w:p>
      <w:pPr>
        <w:ind w:firstLine="420" w:firstLineChars="200"/>
        <w:rPr>
          <w:rFonts w:hint="eastAsia"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w:t>
      </w:r>
      <w:r>
        <w:rPr>
          <w:rFonts w:hint="eastAsia" w:ascii="Times New Roman" w:hAnsi="Times New Roman"/>
          <w:color w:val="000000" w:themeColor="text1"/>
          <w:lang w:eastAsia="zh-CN"/>
          <w14:textFill>
            <w14:solidFill>
              <w14:schemeClr w14:val="tx1"/>
            </w14:solidFill>
          </w14:textFill>
        </w:rPr>
        <w:t>人民政府办公室</w:t>
      </w:r>
      <w:r>
        <w:rPr>
          <w:rFonts w:hint="eastAsia" w:ascii="Times New Roman" w:hAnsi="Times New Roman"/>
          <w:color w:val="000000" w:themeColor="text1"/>
          <w14:textFill>
            <w14:solidFill>
              <w14:schemeClr w14:val="tx1"/>
            </w14:solidFill>
          </w14:textFill>
        </w:rPr>
        <w:t>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 （项目编号）的采购文件、响应文件或与本次采购活动方式相适应的文件及有关附件是本合同不可分割的组成部分，与本合同具有同等法律效力，这些文件包括但不限于：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hint="eastAsia" w:ascii="Times New Roman" w:hAnsi="Times New Roman" w:eastAsia="等线"/>
          <w:color w:val="000000" w:themeColor="text1"/>
          <w:lang w:eastAsia="zh-CN"/>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w:t>
      </w:r>
      <w:r>
        <w:rPr>
          <w:rFonts w:hint="eastAsia" w:ascii="Times New Roman" w:hAnsi="Times New Roman"/>
          <w:color w:val="000000" w:themeColor="text1"/>
          <w:lang w:eastAsia="zh-CN"/>
          <w14:textFill>
            <w14:solidFill>
              <w14:schemeClr w14:val="tx1"/>
            </w14:solidFill>
          </w14:textFill>
        </w:rPr>
        <w:t>，相关费用由乙方承担。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w:t>
      </w:r>
      <w:r>
        <w:rPr>
          <w:rFonts w:hint="eastAsia" w:ascii="Times New Roman" w:hAnsi="Times New Roman"/>
          <w:color w:val="000000" w:themeColor="text1"/>
          <w:lang w:eastAsia="zh-CN"/>
          <w14:textFill>
            <w14:solidFill>
              <w14:schemeClr w14:val="tx1"/>
            </w14:solidFill>
          </w14:textFill>
        </w:rPr>
        <w:t>八</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w:t>
      </w:r>
      <w:r>
        <w:rPr>
          <w:rFonts w:hint="eastAsia" w:ascii="Times New Roman" w:hAnsi="Times New Roman"/>
          <w:color w:val="000000" w:themeColor="text1"/>
          <w:lang w:eastAsia="zh-CN"/>
          <w14:textFill>
            <w14:solidFill>
              <w14:schemeClr w14:val="tx1"/>
            </w14:solidFill>
          </w14:textFill>
        </w:rPr>
        <w:t>九</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一</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二</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三</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四</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w:t>
      </w:r>
      <w:r>
        <w:rPr>
          <w:rFonts w:hint="eastAsia" w:ascii="Times New Roman" w:hAnsi="Times New Roman"/>
          <w:color w:val="000000" w:themeColor="text1"/>
          <w:lang w:eastAsia="zh-CN"/>
          <w14:textFill>
            <w14:solidFill>
              <w14:schemeClr w14:val="tx1"/>
            </w14:solidFill>
          </w14:textFill>
        </w:rPr>
        <w:t>两</w:t>
      </w:r>
      <w:r>
        <w:rPr>
          <w:rFonts w:hint="eastAsia" w:ascii="Times New Roman" w:hAnsi="Times New Roman"/>
          <w:color w:val="000000" w:themeColor="text1"/>
          <w14:textFill>
            <w14:solidFill>
              <w14:schemeClr w14:val="tx1"/>
            </w14:solidFill>
          </w14:textFill>
        </w:rPr>
        <w:t>份，甲乙双方各执一份。</w:t>
      </w:r>
    </w:p>
    <w:p>
      <w:pPr>
        <w:ind w:firstLine="420" w:firstLineChars="200"/>
        <w:rPr>
          <w:rFonts w:hint="eastAsia"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hint="eastAsia"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五、附件</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附件一、评分标准</w:t>
      </w:r>
    </w:p>
    <w:tbl>
      <w:tblPr>
        <w:tblStyle w:val="6"/>
        <w:tblW w:w="846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48"/>
        <w:gridCol w:w="1297"/>
        <w:gridCol w:w="829"/>
        <w:gridCol w:w="539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948"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类别</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分项</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分值</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评分细则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3" w:hRule="atLeast"/>
          <w:jc w:val="center"/>
        </w:trPr>
        <w:tc>
          <w:tcPr>
            <w:tcW w:w="948"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价格（</w:t>
            </w:r>
            <w:r>
              <w:rPr>
                <w:rFonts w:hint="eastAsia" w:ascii="黑体" w:hAnsi="黑体" w:eastAsia="黑体" w:cs="黑体"/>
                <w:color w:val="000000" w:themeColor="text1"/>
                <w:kern w:val="0"/>
                <w:sz w:val="21"/>
                <w:szCs w:val="21"/>
                <w:lang w:val="en-US" w:eastAsia="zh-CN"/>
                <w14:textFill>
                  <w14:solidFill>
                    <w14:schemeClr w14:val="tx1"/>
                  </w14:solidFill>
                </w14:textFill>
              </w:rPr>
              <w:t>10</w:t>
            </w:r>
            <w:r>
              <w:rPr>
                <w:rFonts w:hint="eastAsia" w:ascii="黑体" w:hAnsi="黑体" w:eastAsia="黑体" w:cs="黑体"/>
                <w:color w:val="000000" w:themeColor="text1"/>
                <w:kern w:val="0"/>
                <w:sz w:val="21"/>
                <w:szCs w:val="21"/>
                <w14:textFill>
                  <w14:solidFill>
                    <w14:schemeClr w14:val="tx1"/>
                  </w14:solidFill>
                </w14:textFill>
              </w:rPr>
              <w:t>）</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报价</w:t>
            </w:r>
          </w:p>
        </w:tc>
        <w:tc>
          <w:tcPr>
            <w:tcW w:w="829" w:type="dxa"/>
            <w:tcBorders>
              <w:top w:val="single" w:color="auto" w:sz="8" w:space="0"/>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w:t>
            </w:r>
          </w:p>
        </w:tc>
        <w:tc>
          <w:tcPr>
            <w:tcW w:w="5395" w:type="dxa"/>
            <w:tcBorders>
              <w:top w:val="single" w:color="auto" w:sz="8" w:space="0"/>
              <w:left w:val="single" w:color="auto" w:sz="8" w:space="0"/>
              <w:right w:val="single" w:color="auto" w:sz="8" w:space="0"/>
            </w:tcBorders>
            <w:noWrap w:val="0"/>
            <w:vAlign w:val="top"/>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根据投标人的投标报价，以有效投标最低价为评标基准价，价格分按以下公式计算：价格分=评标基准价/投标报价*1</w:t>
            </w:r>
            <w:r>
              <w:rPr>
                <w:rFonts w:hint="eastAsia" w:ascii="黑体" w:hAnsi="黑体" w:eastAsia="黑体" w:cs="黑体"/>
                <w:color w:val="000000" w:themeColor="text1"/>
                <w:kern w:val="0"/>
                <w:sz w:val="21"/>
                <w:szCs w:val="21"/>
                <w:lang w:val="en-US" w:eastAsia="zh-CN"/>
                <w14:textFill>
                  <w14:solidFill>
                    <w14:schemeClr w14:val="tx1"/>
                  </w14:solidFill>
                </w14:textFill>
              </w:rPr>
              <w:t>0</w:t>
            </w:r>
            <w:r>
              <w:rPr>
                <w:rFonts w:hint="eastAsia" w:ascii="黑体" w:hAnsi="黑体" w:eastAsia="黑体" w:cs="黑体"/>
                <w:color w:val="000000" w:themeColor="text1"/>
                <w:kern w:val="0"/>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29" w:hRule="atLeast"/>
          <w:jc w:val="center"/>
        </w:trPr>
        <w:tc>
          <w:tcPr>
            <w:tcW w:w="948" w:type="dxa"/>
            <w:vMerge w:val="restart"/>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商务</w:t>
            </w:r>
          </w:p>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w:t>
            </w:r>
            <w:r>
              <w:rPr>
                <w:rFonts w:hint="eastAsia" w:ascii="黑体" w:hAnsi="黑体" w:eastAsia="黑体" w:cs="黑体"/>
                <w:color w:val="000000" w:themeColor="text1"/>
                <w:kern w:val="0"/>
                <w:sz w:val="21"/>
                <w:szCs w:val="21"/>
                <w:lang w:val="en-US" w:eastAsia="zh-CN"/>
                <w14:textFill>
                  <w14:solidFill>
                    <w14:schemeClr w14:val="tx1"/>
                  </w14:solidFill>
                </w14:textFill>
              </w:rPr>
              <w:t>20</w:t>
            </w:r>
            <w:r>
              <w:rPr>
                <w:rFonts w:hint="eastAsia" w:ascii="黑体" w:hAnsi="黑体" w:eastAsia="黑体" w:cs="黑体"/>
                <w:color w:val="000000" w:themeColor="text1"/>
                <w:kern w:val="0"/>
                <w:sz w:val="21"/>
                <w:szCs w:val="21"/>
                <w14:textFill>
                  <w14:solidFill>
                    <w14:schemeClr w14:val="tx1"/>
                  </w14:solidFill>
                </w14:textFill>
              </w:rPr>
              <w:t>）</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资信</w:t>
            </w:r>
          </w:p>
        </w:tc>
        <w:tc>
          <w:tcPr>
            <w:tcW w:w="829" w:type="dxa"/>
            <w:tcBorders>
              <w:top w:val="single" w:color="auto" w:sz="8" w:space="0"/>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w:t>
            </w:r>
          </w:p>
        </w:tc>
        <w:tc>
          <w:tcPr>
            <w:tcW w:w="5395" w:type="dxa"/>
            <w:tcBorders>
              <w:top w:val="single" w:color="auto" w:sz="8" w:space="0"/>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投标人具有“互联网新闻信息服务许可证”</w:t>
            </w:r>
            <w:r>
              <w:rPr>
                <w:rFonts w:hint="eastAsia" w:ascii="黑体" w:hAnsi="黑体" w:eastAsia="黑体" w:cs="黑体"/>
                <w:color w:val="000000" w:themeColor="text1"/>
                <w:kern w:val="0"/>
                <w:sz w:val="21"/>
                <w:szCs w:val="21"/>
                <w:lang w:eastAsia="zh-CN"/>
                <w14:textFill>
                  <w14:solidFill>
                    <w14:schemeClr w14:val="tx1"/>
                  </w14:solidFill>
                </w14:textFill>
              </w:rPr>
              <w:t>，</w:t>
            </w:r>
            <w:r>
              <w:rPr>
                <w:rFonts w:hint="eastAsia" w:ascii="黑体" w:hAnsi="黑体" w:eastAsia="黑体" w:cs="黑体"/>
                <w:color w:val="000000" w:themeColor="text1"/>
                <w:kern w:val="0"/>
                <w:sz w:val="21"/>
                <w:szCs w:val="21"/>
                <w14:textFill>
                  <w14:solidFill>
                    <w14:schemeClr w14:val="tx1"/>
                  </w14:solidFill>
                </w14:textFill>
              </w:rPr>
              <w:t>得</w:t>
            </w:r>
            <w:r>
              <w:rPr>
                <w:rFonts w:hint="eastAsia" w:ascii="黑体" w:hAnsi="黑体" w:eastAsia="黑体" w:cs="黑体"/>
                <w:color w:val="000000" w:themeColor="text1"/>
                <w:kern w:val="0"/>
                <w:sz w:val="21"/>
                <w:szCs w:val="21"/>
                <w:lang w:val="en-US" w:eastAsia="zh-CN"/>
                <w14:textFill>
                  <w14:solidFill>
                    <w14:schemeClr w14:val="tx1"/>
                  </w14:solidFill>
                </w14:textFill>
              </w:rPr>
              <w:t>10</w:t>
            </w:r>
            <w:r>
              <w:rPr>
                <w:rFonts w:hint="eastAsia" w:ascii="黑体" w:hAnsi="黑体" w:eastAsia="黑体" w:cs="黑体"/>
                <w:color w:val="000000" w:themeColor="text1"/>
                <w:kern w:val="0"/>
                <w:sz w:val="21"/>
                <w:szCs w:val="21"/>
                <w14:textFill>
                  <w14:solidFill>
                    <w14:schemeClr w14:val="tx1"/>
                  </w14:solidFill>
                </w14:textFill>
              </w:rPr>
              <w:t>分</w:t>
            </w:r>
            <w:r>
              <w:rPr>
                <w:rFonts w:hint="eastAsia" w:ascii="黑体" w:hAnsi="黑体" w:eastAsia="黑体" w:cs="黑体"/>
                <w:color w:val="000000" w:themeColor="text1"/>
                <w:kern w:val="0"/>
                <w:sz w:val="21"/>
                <w:szCs w:val="21"/>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lang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w:t>
            </w:r>
            <w:r>
              <w:rPr>
                <w:rFonts w:hint="eastAsia" w:ascii="黑体" w:hAnsi="黑体" w:eastAsia="黑体" w:cs="黑体"/>
                <w:color w:val="000000" w:themeColor="text1"/>
                <w:kern w:val="0"/>
                <w:sz w:val="21"/>
                <w:szCs w:val="21"/>
                <w14:textFill>
                  <w14:solidFill>
                    <w14:schemeClr w14:val="tx1"/>
                  </w14:solidFill>
                </w14:textFill>
              </w:rPr>
              <w:t>需提供证书复印件，并加盖单位公章</w:t>
            </w:r>
            <w:r>
              <w:rPr>
                <w:rFonts w:hint="eastAsia" w:ascii="黑体" w:hAnsi="黑体" w:eastAsia="黑体" w:cs="黑体"/>
                <w:color w:val="000000" w:themeColor="text1"/>
                <w:kern w:val="0"/>
                <w:sz w:val="21"/>
                <w:szCs w:val="21"/>
                <w:lang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15" w:hRule="atLeast"/>
          <w:jc w:val="center"/>
        </w:trPr>
        <w:tc>
          <w:tcPr>
            <w:tcW w:w="948" w:type="dxa"/>
            <w:vMerge w:val="continue"/>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p>
        </w:tc>
        <w:tc>
          <w:tcPr>
            <w:tcW w:w="1297" w:type="dxa"/>
            <w:tcBorders>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案例</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投标人具有类似的面向市民公共服务</w:t>
            </w:r>
            <w:r>
              <w:rPr>
                <w:rFonts w:hint="eastAsia" w:ascii="黑体" w:hAnsi="黑体" w:eastAsia="黑体" w:cs="黑体"/>
                <w:color w:val="000000" w:themeColor="text1"/>
                <w:kern w:val="0"/>
                <w:sz w:val="21"/>
                <w:szCs w:val="21"/>
                <w:lang w:eastAsia="zh-CN"/>
                <w14:textFill>
                  <w14:solidFill>
                    <w14:schemeClr w14:val="tx1"/>
                  </w14:solidFill>
                </w14:textFill>
              </w:rPr>
              <w:t>网站</w:t>
            </w:r>
            <w:r>
              <w:rPr>
                <w:rFonts w:hint="eastAsia" w:ascii="黑体" w:hAnsi="黑体" w:eastAsia="黑体" w:cs="黑体"/>
                <w:color w:val="000000" w:themeColor="text1"/>
                <w:kern w:val="0"/>
                <w:sz w:val="21"/>
                <w:szCs w:val="21"/>
                <w14:textFill>
                  <w14:solidFill>
                    <w14:schemeClr w14:val="tx1"/>
                  </w14:solidFill>
                </w14:textFill>
              </w:rPr>
              <w:t>项目运维经验的，得</w:t>
            </w:r>
            <w:r>
              <w:rPr>
                <w:rFonts w:hint="eastAsia" w:ascii="黑体" w:hAnsi="黑体" w:eastAsia="黑体" w:cs="黑体"/>
                <w:color w:val="000000" w:themeColor="text1"/>
                <w:kern w:val="0"/>
                <w:sz w:val="21"/>
                <w:szCs w:val="21"/>
                <w:lang w:val="en-US" w:eastAsia="zh-CN"/>
                <w14:textFill>
                  <w14:solidFill>
                    <w14:schemeClr w14:val="tx1"/>
                  </w14:solidFill>
                </w14:textFill>
              </w:rPr>
              <w:t>10</w:t>
            </w:r>
            <w:r>
              <w:rPr>
                <w:rFonts w:hint="eastAsia" w:ascii="黑体" w:hAnsi="黑体" w:eastAsia="黑体" w:cs="黑体"/>
                <w:color w:val="000000" w:themeColor="text1"/>
                <w:kern w:val="0"/>
                <w:sz w:val="21"/>
                <w:szCs w:val="21"/>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lang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w:t>
            </w:r>
            <w:r>
              <w:rPr>
                <w:rFonts w:hint="eastAsia" w:ascii="黑体" w:hAnsi="黑体" w:eastAsia="黑体" w:cs="黑体"/>
                <w:color w:val="000000" w:themeColor="text1"/>
                <w:kern w:val="0"/>
                <w:sz w:val="21"/>
                <w:szCs w:val="21"/>
                <w14:textFill>
                  <w14:solidFill>
                    <w14:schemeClr w14:val="tx1"/>
                  </w14:solidFill>
                </w14:textFill>
              </w:rPr>
              <w:t>需提供2018年8月1日以来合同复印件，并加盖单位公章。如属于投标人自行建设、自行运</w:t>
            </w:r>
            <w:r>
              <w:rPr>
                <w:rFonts w:hint="eastAsia" w:ascii="黑体" w:hAnsi="黑体" w:eastAsia="黑体" w:cs="黑体"/>
                <w:color w:val="000000" w:themeColor="text1"/>
                <w:kern w:val="0"/>
                <w:sz w:val="21"/>
                <w:szCs w:val="21"/>
                <w:lang w:eastAsia="zh-CN"/>
                <w14:textFill>
                  <w14:solidFill>
                    <w14:schemeClr w14:val="tx1"/>
                  </w14:solidFill>
                </w14:textFill>
              </w:rPr>
              <w:t>维</w:t>
            </w:r>
            <w:r>
              <w:rPr>
                <w:rFonts w:hint="eastAsia" w:ascii="黑体" w:hAnsi="黑体" w:eastAsia="黑体" w:cs="黑体"/>
                <w:color w:val="000000" w:themeColor="text1"/>
                <w:kern w:val="0"/>
                <w:sz w:val="21"/>
                <w:szCs w:val="21"/>
                <w14:textFill>
                  <w14:solidFill>
                    <w14:schemeClr w14:val="tx1"/>
                  </w14:solidFill>
                </w14:textFill>
              </w:rPr>
              <w:t>的，仅需</w:t>
            </w:r>
            <w:r>
              <w:rPr>
                <w:rFonts w:hint="eastAsia" w:ascii="黑体" w:hAnsi="黑体" w:eastAsia="黑体" w:cs="黑体"/>
                <w:color w:val="000000" w:themeColor="text1"/>
                <w:kern w:val="0"/>
                <w:sz w:val="21"/>
                <w:szCs w:val="21"/>
                <w:lang w:eastAsia="zh-CN"/>
                <w14:textFill>
                  <w14:solidFill>
                    <w14:schemeClr w14:val="tx1"/>
                  </w14:solidFill>
                </w14:textFill>
              </w:rPr>
              <w:t>网站备案信息</w:t>
            </w:r>
            <w:r>
              <w:rPr>
                <w:rFonts w:hint="eastAsia" w:ascii="黑体" w:hAnsi="黑体" w:eastAsia="黑体" w:cs="黑体"/>
                <w:color w:val="000000" w:themeColor="text1"/>
                <w:kern w:val="0"/>
                <w:sz w:val="21"/>
                <w:szCs w:val="21"/>
                <w14:textFill>
                  <w14:solidFill>
                    <w14:schemeClr w14:val="tx1"/>
                  </w14:solidFill>
                </w14:textFill>
              </w:rPr>
              <w:t>截图，并加盖单位公章</w:t>
            </w:r>
            <w:r>
              <w:rPr>
                <w:rFonts w:hint="eastAsia" w:ascii="黑体" w:hAnsi="黑体" w:eastAsia="黑体" w:cs="黑体"/>
                <w:color w:val="000000" w:themeColor="text1"/>
                <w:kern w:val="0"/>
                <w:sz w:val="21"/>
                <w:szCs w:val="21"/>
                <w:lang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5" w:hRule="atLeast"/>
          <w:jc w:val="center"/>
        </w:trPr>
        <w:tc>
          <w:tcPr>
            <w:tcW w:w="948" w:type="dxa"/>
            <w:vMerge w:val="restart"/>
            <w:tcBorders>
              <w:top w:val="single" w:color="auto" w:sz="8" w:space="0"/>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技术</w:t>
            </w:r>
          </w:p>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w:t>
            </w:r>
            <w:r>
              <w:rPr>
                <w:rFonts w:hint="eastAsia" w:ascii="黑体" w:hAnsi="黑体" w:eastAsia="黑体" w:cs="黑体"/>
                <w:color w:val="000000" w:themeColor="text1"/>
                <w:kern w:val="0"/>
                <w:sz w:val="21"/>
                <w:szCs w:val="21"/>
                <w:lang w:val="en-US" w:eastAsia="zh-CN"/>
                <w14:textFill>
                  <w14:solidFill>
                    <w14:schemeClr w14:val="tx1"/>
                  </w14:solidFill>
                </w14:textFill>
              </w:rPr>
              <w:t>70</w:t>
            </w:r>
            <w:r>
              <w:rPr>
                <w:rFonts w:hint="eastAsia" w:ascii="黑体" w:hAnsi="黑体" w:eastAsia="黑体" w:cs="黑体"/>
                <w:color w:val="000000" w:themeColor="text1"/>
                <w:kern w:val="0"/>
                <w:sz w:val="21"/>
                <w:szCs w:val="21"/>
                <w14:textFill>
                  <w14:solidFill>
                    <w14:schemeClr w14:val="tx1"/>
                  </w14:solidFill>
                </w14:textFill>
              </w:rPr>
              <w:t>）</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项目理解</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根据投标人对</w:t>
            </w:r>
            <w:r>
              <w:rPr>
                <w:rFonts w:hint="eastAsia" w:ascii="黑体" w:hAnsi="黑体" w:eastAsia="黑体" w:cs="黑体"/>
                <w:color w:val="000000" w:themeColor="text1"/>
                <w:kern w:val="0"/>
                <w:sz w:val="21"/>
                <w:szCs w:val="21"/>
                <w:lang w:eastAsia="zh-CN"/>
                <w14:textFill>
                  <w14:solidFill>
                    <w14:schemeClr w14:val="tx1"/>
                  </w14:solidFill>
                </w14:textFill>
              </w:rPr>
              <w:t>泰州市政府网站内容保障</w:t>
            </w:r>
            <w:r>
              <w:rPr>
                <w:rFonts w:hint="eastAsia" w:ascii="黑体" w:hAnsi="黑体" w:eastAsia="黑体" w:cs="黑体"/>
                <w:color w:val="000000" w:themeColor="text1"/>
                <w:kern w:val="0"/>
                <w:sz w:val="21"/>
                <w:szCs w:val="21"/>
                <w14:textFill>
                  <w14:solidFill>
                    <w14:schemeClr w14:val="tx1"/>
                  </w14:solidFill>
                </w14:textFill>
              </w:rPr>
              <w:t>需求的理解</w:t>
            </w:r>
            <w:r>
              <w:rPr>
                <w:rFonts w:hint="eastAsia" w:ascii="黑体" w:hAnsi="黑体" w:eastAsia="黑体" w:cs="黑体"/>
                <w:color w:val="000000" w:themeColor="text1"/>
                <w:kern w:val="0"/>
                <w:sz w:val="21"/>
                <w:szCs w:val="21"/>
                <w:lang w:eastAsia="zh-CN"/>
                <w14:textFill>
                  <w14:solidFill>
                    <w14:schemeClr w14:val="tx1"/>
                  </w14:solidFill>
                </w14:textFill>
              </w:rPr>
              <w:t>程度</w:t>
            </w:r>
            <w:r>
              <w:rPr>
                <w:rFonts w:hint="eastAsia" w:ascii="黑体" w:hAnsi="黑体" w:eastAsia="黑体" w:cs="黑体"/>
                <w:color w:val="000000" w:themeColor="text1"/>
                <w:kern w:val="0"/>
                <w:sz w:val="21"/>
                <w:szCs w:val="21"/>
                <w14:textFill>
                  <w14:solidFill>
                    <w14:schemeClr w14:val="tx1"/>
                  </w14:solidFill>
                </w14:textFill>
              </w:rPr>
              <w:t>，在0-</w:t>
            </w:r>
            <w:r>
              <w:rPr>
                <w:rFonts w:hint="eastAsia" w:ascii="黑体" w:hAnsi="黑体" w:eastAsia="黑体" w:cs="黑体"/>
                <w:color w:val="000000" w:themeColor="text1"/>
                <w:kern w:val="0"/>
                <w:sz w:val="21"/>
                <w:szCs w:val="21"/>
                <w:lang w:val="en-US" w:eastAsia="zh-CN"/>
                <w14:textFill>
                  <w14:solidFill>
                    <w14:schemeClr w14:val="tx1"/>
                  </w14:solidFill>
                </w14:textFill>
              </w:rPr>
              <w:t>20</w:t>
            </w:r>
            <w:r>
              <w:rPr>
                <w:rFonts w:hint="eastAsia" w:ascii="黑体" w:hAnsi="黑体" w:eastAsia="黑体" w:cs="黑体"/>
                <w:color w:val="000000" w:themeColor="text1"/>
                <w:kern w:val="0"/>
                <w:sz w:val="21"/>
                <w:szCs w:val="21"/>
                <w14:textFill>
                  <w14:solidFill>
                    <w14:schemeClr w14:val="tx1"/>
                  </w14:solidFill>
                </w14:textFill>
              </w:rPr>
              <w:t>分之间横向比较打分。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w:t>
            </w:r>
            <w:r>
              <w:rPr>
                <w:rFonts w:hint="eastAsia" w:ascii="黑体" w:hAnsi="黑体" w:eastAsia="黑体" w:cs="黑体"/>
                <w:color w:val="000000" w:themeColor="text1"/>
                <w:kern w:val="0"/>
                <w:sz w:val="21"/>
                <w:szCs w:val="21"/>
                <w14:textFill>
                  <w14:solidFill>
                    <w14:schemeClr w14:val="tx1"/>
                  </w14:solidFill>
                </w14:textFill>
              </w:rPr>
              <w:t>对本项目需求理解全面、深入，有安全、稳定、成熟可行的方案，确保</w:t>
            </w:r>
            <w:r>
              <w:rPr>
                <w:rFonts w:hint="eastAsia" w:ascii="黑体" w:hAnsi="黑体" w:eastAsia="黑体" w:cs="黑体"/>
                <w:color w:val="000000" w:themeColor="text1"/>
                <w:kern w:val="0"/>
                <w:sz w:val="21"/>
                <w:szCs w:val="21"/>
                <w:lang w:eastAsia="zh-CN"/>
                <w14:textFill>
                  <w14:solidFill>
                    <w14:schemeClr w14:val="tx1"/>
                  </w14:solidFill>
                </w14:textFill>
              </w:rPr>
              <w:t>能够准确、</w:t>
            </w:r>
            <w:r>
              <w:rPr>
                <w:rFonts w:hint="eastAsia" w:ascii="黑体" w:hAnsi="黑体" w:eastAsia="黑体" w:cs="黑体"/>
                <w:color w:val="000000" w:themeColor="text1"/>
                <w:kern w:val="0"/>
                <w:sz w:val="21"/>
                <w:szCs w:val="21"/>
                <w14:textFill>
                  <w14:solidFill>
                    <w14:schemeClr w14:val="tx1"/>
                  </w14:solidFill>
                </w14:textFill>
              </w:rPr>
              <w:t>及时</w:t>
            </w:r>
            <w:r>
              <w:rPr>
                <w:rFonts w:hint="eastAsia" w:ascii="黑体" w:hAnsi="黑体" w:eastAsia="黑体" w:cs="黑体"/>
                <w:color w:val="000000" w:themeColor="text1"/>
                <w:kern w:val="0"/>
                <w:sz w:val="21"/>
                <w:szCs w:val="21"/>
                <w:lang w:eastAsia="zh-CN"/>
                <w14:textFill>
                  <w14:solidFill>
                    <w14:schemeClr w14:val="tx1"/>
                  </w14:solidFill>
                </w14:textFill>
              </w:rPr>
              <w:t>、快速地编辑录入工作</w:t>
            </w:r>
            <w:r>
              <w:rPr>
                <w:rFonts w:hint="eastAsia" w:ascii="黑体" w:hAnsi="黑体" w:eastAsia="黑体" w:cs="黑体"/>
                <w:color w:val="000000" w:themeColor="text1"/>
                <w:kern w:val="0"/>
                <w:sz w:val="21"/>
                <w:szCs w:val="21"/>
                <w14:textFill>
                  <w14:solidFill>
                    <w14:schemeClr w14:val="tx1"/>
                  </w14:solidFill>
                </w14:textFill>
              </w:rPr>
              <w:t>，得</w:t>
            </w:r>
            <w:r>
              <w:rPr>
                <w:rFonts w:hint="eastAsia" w:ascii="黑体" w:hAnsi="黑体" w:eastAsia="黑体" w:cs="黑体"/>
                <w:color w:val="000000" w:themeColor="text1"/>
                <w:kern w:val="0"/>
                <w:sz w:val="21"/>
                <w:szCs w:val="21"/>
                <w:lang w:val="en-US" w:eastAsia="zh-CN"/>
                <w14:textFill>
                  <w14:solidFill>
                    <w14:schemeClr w14:val="tx1"/>
                  </w14:solidFill>
                </w14:textFill>
              </w:rPr>
              <w:t>15-20</w:t>
            </w:r>
            <w:r>
              <w:rPr>
                <w:rFonts w:hint="eastAsia" w:ascii="黑体" w:hAnsi="黑体" w:eastAsia="黑体" w:cs="黑体"/>
                <w:color w:val="000000" w:themeColor="text1"/>
                <w:kern w:val="0"/>
                <w:sz w:val="21"/>
                <w:szCs w:val="21"/>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2、</w:t>
            </w:r>
            <w:r>
              <w:rPr>
                <w:rFonts w:hint="eastAsia" w:ascii="黑体" w:hAnsi="黑体" w:eastAsia="黑体" w:cs="黑体"/>
                <w:color w:val="000000" w:themeColor="text1"/>
                <w:kern w:val="0"/>
                <w:sz w:val="21"/>
                <w:szCs w:val="21"/>
                <w14:textFill>
                  <w14:solidFill>
                    <w14:schemeClr w14:val="tx1"/>
                  </w14:solidFill>
                </w14:textFill>
              </w:rPr>
              <w:t>对本项目需求理解较为全面、深入，有安全、稳定、成熟可行的方案，确保</w:t>
            </w:r>
            <w:r>
              <w:rPr>
                <w:rFonts w:hint="eastAsia" w:ascii="黑体" w:hAnsi="黑体" w:eastAsia="黑体" w:cs="黑体"/>
                <w:color w:val="000000" w:themeColor="text1"/>
                <w:kern w:val="0"/>
                <w:sz w:val="21"/>
                <w:szCs w:val="21"/>
                <w:lang w:eastAsia="zh-CN"/>
                <w14:textFill>
                  <w14:solidFill>
                    <w14:schemeClr w14:val="tx1"/>
                  </w14:solidFill>
                </w14:textFill>
              </w:rPr>
              <w:t>能够准确、</w:t>
            </w:r>
            <w:r>
              <w:rPr>
                <w:rFonts w:hint="eastAsia" w:ascii="黑体" w:hAnsi="黑体" w:eastAsia="黑体" w:cs="黑体"/>
                <w:color w:val="000000" w:themeColor="text1"/>
                <w:kern w:val="0"/>
                <w:sz w:val="21"/>
                <w:szCs w:val="21"/>
                <w14:textFill>
                  <w14:solidFill>
                    <w14:schemeClr w14:val="tx1"/>
                  </w14:solidFill>
                </w14:textFill>
              </w:rPr>
              <w:t>及时</w:t>
            </w:r>
            <w:r>
              <w:rPr>
                <w:rFonts w:hint="eastAsia" w:ascii="黑体" w:hAnsi="黑体" w:eastAsia="黑体" w:cs="黑体"/>
                <w:color w:val="000000" w:themeColor="text1"/>
                <w:kern w:val="0"/>
                <w:sz w:val="21"/>
                <w:szCs w:val="21"/>
                <w:lang w:eastAsia="zh-CN"/>
                <w14:textFill>
                  <w14:solidFill>
                    <w14:schemeClr w14:val="tx1"/>
                  </w14:solidFill>
                </w14:textFill>
              </w:rPr>
              <w:t>、快速地编辑录入工作</w:t>
            </w:r>
            <w:r>
              <w:rPr>
                <w:rFonts w:hint="eastAsia" w:ascii="黑体" w:hAnsi="黑体" w:eastAsia="黑体" w:cs="黑体"/>
                <w:color w:val="000000" w:themeColor="text1"/>
                <w:kern w:val="0"/>
                <w:sz w:val="21"/>
                <w:szCs w:val="21"/>
                <w14:textFill>
                  <w14:solidFill>
                    <w14:schemeClr w14:val="tx1"/>
                  </w14:solidFill>
                </w14:textFill>
              </w:rPr>
              <w:t>，得</w:t>
            </w:r>
            <w:r>
              <w:rPr>
                <w:rFonts w:hint="eastAsia" w:ascii="黑体" w:hAnsi="黑体" w:eastAsia="黑体" w:cs="黑体"/>
                <w:color w:val="000000" w:themeColor="text1"/>
                <w:kern w:val="0"/>
                <w:sz w:val="21"/>
                <w:szCs w:val="21"/>
                <w:lang w:val="en-US" w:eastAsia="zh-CN"/>
                <w14:textFill>
                  <w14:solidFill>
                    <w14:schemeClr w14:val="tx1"/>
                  </w14:solidFill>
                </w14:textFill>
              </w:rPr>
              <w:t>8-14</w:t>
            </w:r>
            <w:r>
              <w:rPr>
                <w:rFonts w:hint="eastAsia" w:ascii="黑体" w:hAnsi="黑体" w:eastAsia="黑体" w:cs="黑体"/>
                <w:color w:val="000000" w:themeColor="text1"/>
                <w:kern w:val="0"/>
                <w:sz w:val="21"/>
                <w:szCs w:val="21"/>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3、</w:t>
            </w:r>
            <w:r>
              <w:rPr>
                <w:rFonts w:hint="eastAsia" w:ascii="黑体" w:hAnsi="黑体" w:eastAsia="黑体" w:cs="黑体"/>
                <w:color w:val="000000" w:themeColor="text1"/>
                <w:kern w:val="0"/>
                <w:sz w:val="21"/>
                <w:szCs w:val="21"/>
                <w14:textFill>
                  <w14:solidFill>
                    <w14:schemeClr w14:val="tx1"/>
                  </w14:solidFill>
                </w14:textFill>
              </w:rPr>
              <w:t>对本项目需求基本理解，有安全、稳定、成熟可行的方案，确保</w:t>
            </w:r>
            <w:r>
              <w:rPr>
                <w:rFonts w:hint="eastAsia" w:ascii="黑体" w:hAnsi="黑体" w:eastAsia="黑体" w:cs="黑体"/>
                <w:color w:val="000000" w:themeColor="text1"/>
                <w:kern w:val="0"/>
                <w:sz w:val="21"/>
                <w:szCs w:val="21"/>
                <w:lang w:eastAsia="zh-CN"/>
                <w14:textFill>
                  <w14:solidFill>
                    <w14:schemeClr w14:val="tx1"/>
                  </w14:solidFill>
                </w14:textFill>
              </w:rPr>
              <w:t>能够准确、</w:t>
            </w:r>
            <w:r>
              <w:rPr>
                <w:rFonts w:hint="eastAsia" w:ascii="黑体" w:hAnsi="黑体" w:eastAsia="黑体" w:cs="黑体"/>
                <w:color w:val="000000" w:themeColor="text1"/>
                <w:kern w:val="0"/>
                <w:sz w:val="21"/>
                <w:szCs w:val="21"/>
                <w14:textFill>
                  <w14:solidFill>
                    <w14:schemeClr w14:val="tx1"/>
                  </w14:solidFill>
                </w14:textFill>
              </w:rPr>
              <w:t>及时</w:t>
            </w:r>
            <w:r>
              <w:rPr>
                <w:rFonts w:hint="eastAsia" w:ascii="黑体" w:hAnsi="黑体" w:eastAsia="黑体" w:cs="黑体"/>
                <w:color w:val="000000" w:themeColor="text1"/>
                <w:kern w:val="0"/>
                <w:sz w:val="21"/>
                <w:szCs w:val="21"/>
                <w:lang w:eastAsia="zh-CN"/>
                <w14:textFill>
                  <w14:solidFill>
                    <w14:schemeClr w14:val="tx1"/>
                  </w14:solidFill>
                </w14:textFill>
              </w:rPr>
              <w:t>、快速地编辑录入工作</w:t>
            </w:r>
            <w:r>
              <w:rPr>
                <w:rFonts w:hint="eastAsia" w:ascii="黑体" w:hAnsi="黑体" w:eastAsia="黑体" w:cs="黑体"/>
                <w:color w:val="000000" w:themeColor="text1"/>
                <w:kern w:val="0"/>
                <w:sz w:val="21"/>
                <w:szCs w:val="21"/>
                <w14:textFill>
                  <w14:solidFill>
                    <w14:schemeClr w14:val="tx1"/>
                  </w14:solidFill>
                </w14:textFill>
              </w:rPr>
              <w:t>，得</w:t>
            </w:r>
            <w:r>
              <w:rPr>
                <w:rFonts w:hint="eastAsia" w:ascii="黑体" w:hAnsi="黑体" w:eastAsia="黑体" w:cs="黑体"/>
                <w:color w:val="000000" w:themeColor="text1"/>
                <w:kern w:val="0"/>
                <w:sz w:val="21"/>
                <w:szCs w:val="21"/>
                <w:lang w:val="en-US" w:eastAsia="zh-CN"/>
                <w14:textFill>
                  <w14:solidFill>
                    <w14:schemeClr w14:val="tx1"/>
                  </w14:solidFill>
                </w14:textFill>
              </w:rPr>
              <w:t>1-7</w:t>
            </w:r>
            <w:r>
              <w:rPr>
                <w:rFonts w:hint="eastAsia" w:ascii="黑体" w:hAnsi="黑体" w:eastAsia="黑体" w:cs="黑体"/>
                <w:color w:val="000000" w:themeColor="text1"/>
                <w:kern w:val="0"/>
                <w:sz w:val="21"/>
                <w:szCs w:val="21"/>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4、不提供不得分。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948" w:type="dxa"/>
            <w:vMerge w:val="continue"/>
            <w:tcBorders>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服务方案</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30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根据投标人提供的</w:t>
            </w:r>
            <w:r>
              <w:rPr>
                <w:rFonts w:hint="eastAsia" w:ascii="黑体" w:hAnsi="黑体" w:eastAsia="黑体" w:cs="黑体"/>
                <w:color w:val="000000" w:themeColor="text1"/>
                <w:kern w:val="0"/>
                <w:sz w:val="21"/>
                <w:szCs w:val="21"/>
                <w:lang w:eastAsia="zh-CN"/>
                <w14:textFill>
                  <w14:solidFill>
                    <w14:schemeClr w14:val="tx1"/>
                  </w14:solidFill>
                </w14:textFill>
              </w:rPr>
              <w:t>泰州市政府网站内容保障</w:t>
            </w:r>
            <w:r>
              <w:rPr>
                <w:rFonts w:hint="eastAsia" w:ascii="黑体" w:hAnsi="黑体" w:eastAsia="黑体" w:cs="黑体"/>
                <w:color w:val="000000" w:themeColor="text1"/>
                <w:kern w:val="0"/>
                <w:sz w:val="21"/>
                <w:szCs w:val="21"/>
                <w14:textFill>
                  <w14:solidFill>
                    <w14:schemeClr w14:val="tx1"/>
                  </w14:solidFill>
                </w14:textFill>
              </w:rPr>
              <w:t>服务方案针对性、服务内容完整性，服务规范等内容描述清晰、合理性，在0-</w:t>
            </w:r>
            <w:r>
              <w:rPr>
                <w:rFonts w:hint="eastAsia" w:ascii="黑体" w:hAnsi="黑体" w:eastAsia="黑体" w:cs="黑体"/>
                <w:color w:val="000000" w:themeColor="text1"/>
                <w:kern w:val="0"/>
                <w:sz w:val="21"/>
                <w:szCs w:val="21"/>
                <w:lang w:val="en-US" w:eastAsia="zh-CN"/>
                <w14:textFill>
                  <w14:solidFill>
                    <w14:schemeClr w14:val="tx1"/>
                  </w14:solidFill>
                </w14:textFill>
              </w:rPr>
              <w:t>30</w:t>
            </w:r>
            <w:r>
              <w:rPr>
                <w:rFonts w:hint="eastAsia" w:ascii="黑体" w:hAnsi="黑体" w:eastAsia="黑体" w:cs="黑体"/>
                <w:color w:val="000000" w:themeColor="text1"/>
                <w:kern w:val="0"/>
                <w:sz w:val="21"/>
                <w:szCs w:val="21"/>
                <w14:textFill>
                  <w14:solidFill>
                    <w14:schemeClr w14:val="tx1"/>
                  </w14:solidFill>
                </w14:textFill>
              </w:rPr>
              <w:t>之间横向比较打分。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w:t>
            </w:r>
            <w:r>
              <w:rPr>
                <w:rFonts w:hint="eastAsia" w:ascii="黑体" w:hAnsi="黑体" w:eastAsia="黑体" w:cs="黑体"/>
                <w:color w:val="000000" w:themeColor="text1"/>
                <w:kern w:val="0"/>
                <w:sz w:val="21"/>
                <w:szCs w:val="21"/>
                <w14:textFill>
                  <w14:solidFill>
                    <w14:schemeClr w14:val="tx1"/>
                  </w14:solidFill>
                </w14:textFill>
              </w:rPr>
              <w:t>服务方案内容具有针对性、服务内容非常完整，服务体系、服务流程、服务规范等内容描述清晰、全面合理的得</w:t>
            </w:r>
            <w:r>
              <w:rPr>
                <w:rFonts w:hint="eastAsia" w:ascii="黑体" w:hAnsi="黑体" w:eastAsia="黑体" w:cs="黑体"/>
                <w:color w:val="000000" w:themeColor="text1"/>
                <w:kern w:val="0"/>
                <w:sz w:val="21"/>
                <w:szCs w:val="21"/>
                <w:lang w:val="en-US" w:eastAsia="zh-CN"/>
                <w14:textFill>
                  <w14:solidFill>
                    <w14:schemeClr w14:val="tx1"/>
                  </w14:solidFill>
                </w14:textFill>
              </w:rPr>
              <w:t>25-30</w:t>
            </w:r>
            <w:r>
              <w:rPr>
                <w:rFonts w:hint="eastAsia" w:ascii="黑体" w:hAnsi="黑体" w:eastAsia="黑体" w:cs="黑体"/>
                <w:color w:val="000000" w:themeColor="text1"/>
                <w:kern w:val="0"/>
                <w:sz w:val="21"/>
                <w:szCs w:val="21"/>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2、</w:t>
            </w:r>
            <w:r>
              <w:rPr>
                <w:rFonts w:hint="eastAsia" w:ascii="黑体" w:hAnsi="黑体" w:eastAsia="黑体" w:cs="黑体"/>
                <w:color w:val="000000" w:themeColor="text1"/>
                <w:kern w:val="0"/>
                <w:sz w:val="21"/>
                <w:szCs w:val="21"/>
                <w14:textFill>
                  <w14:solidFill>
                    <w14:schemeClr w14:val="tx1"/>
                  </w14:solidFill>
                </w14:textFill>
              </w:rPr>
              <w:t>服务方案内容有一定针对性、服务内容完整，服务体系、服务流程、服务规范等内容描述清晰、全面合理的得</w:t>
            </w:r>
            <w:r>
              <w:rPr>
                <w:rFonts w:hint="eastAsia" w:ascii="黑体" w:hAnsi="黑体" w:eastAsia="黑体" w:cs="黑体"/>
                <w:color w:val="000000" w:themeColor="text1"/>
                <w:kern w:val="0"/>
                <w:sz w:val="21"/>
                <w:szCs w:val="21"/>
                <w:lang w:val="en-US" w:eastAsia="zh-CN"/>
                <w14:textFill>
                  <w14:solidFill>
                    <w14:schemeClr w14:val="tx1"/>
                  </w14:solidFill>
                </w14:textFill>
              </w:rPr>
              <w:t>15-24</w:t>
            </w:r>
            <w:r>
              <w:rPr>
                <w:rFonts w:hint="eastAsia" w:ascii="黑体" w:hAnsi="黑体" w:eastAsia="黑体" w:cs="黑体"/>
                <w:color w:val="000000" w:themeColor="text1"/>
                <w:kern w:val="0"/>
                <w:sz w:val="21"/>
                <w:szCs w:val="21"/>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3、</w:t>
            </w:r>
            <w:r>
              <w:rPr>
                <w:rFonts w:hint="eastAsia" w:ascii="黑体" w:hAnsi="黑体" w:eastAsia="黑体" w:cs="黑体"/>
                <w:color w:val="000000" w:themeColor="text1"/>
                <w:kern w:val="0"/>
                <w:sz w:val="21"/>
                <w:szCs w:val="21"/>
                <w14:textFill>
                  <w14:solidFill>
                    <w14:schemeClr w14:val="tx1"/>
                  </w14:solidFill>
                </w14:textFill>
              </w:rPr>
              <w:t>服务方案内容针对性不强、服务内容基本完整，服务体系、服务流程、服务规范等内容描述较清晰、较为全面合理的得</w:t>
            </w:r>
            <w:r>
              <w:rPr>
                <w:rFonts w:hint="eastAsia" w:ascii="黑体" w:hAnsi="黑体" w:eastAsia="黑体" w:cs="黑体"/>
                <w:color w:val="000000" w:themeColor="text1"/>
                <w:kern w:val="0"/>
                <w:sz w:val="21"/>
                <w:szCs w:val="21"/>
                <w:lang w:val="en-US" w:eastAsia="zh-CN"/>
                <w14:textFill>
                  <w14:solidFill>
                    <w14:schemeClr w14:val="tx1"/>
                  </w14:solidFill>
                </w14:textFill>
              </w:rPr>
              <w:t>1-14</w:t>
            </w:r>
            <w:r>
              <w:rPr>
                <w:rFonts w:hint="eastAsia" w:ascii="黑体" w:hAnsi="黑体" w:eastAsia="黑体" w:cs="黑体"/>
                <w:color w:val="000000" w:themeColor="text1"/>
                <w:kern w:val="0"/>
                <w:sz w:val="21"/>
                <w:szCs w:val="21"/>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4、</w:t>
            </w:r>
            <w:r>
              <w:rPr>
                <w:rFonts w:hint="eastAsia" w:ascii="黑体" w:hAnsi="黑体" w:eastAsia="黑体" w:cs="黑体"/>
                <w:color w:val="000000" w:themeColor="text1"/>
                <w:kern w:val="0"/>
                <w:sz w:val="21"/>
                <w:szCs w:val="21"/>
                <w14:textFill>
                  <w14:solidFill>
                    <w14:schemeClr w14:val="tx1"/>
                  </w14:solidFill>
                </w14:textFill>
              </w:rPr>
              <w:t>不提供</w:t>
            </w:r>
            <w:r>
              <w:rPr>
                <w:rFonts w:hint="eastAsia" w:ascii="黑体" w:hAnsi="黑体" w:eastAsia="黑体" w:cs="黑体"/>
                <w:color w:val="000000" w:themeColor="text1"/>
                <w:kern w:val="0"/>
                <w:sz w:val="21"/>
                <w:szCs w:val="21"/>
                <w:lang w:eastAsia="zh-CN"/>
                <w14:textFill>
                  <w14:solidFill>
                    <w14:schemeClr w14:val="tx1"/>
                  </w14:solidFill>
                </w14:textFill>
              </w:rPr>
              <w:t>不得</w:t>
            </w:r>
            <w:r>
              <w:rPr>
                <w:rFonts w:hint="eastAsia" w:ascii="黑体" w:hAnsi="黑体" w:eastAsia="黑体" w:cs="黑体"/>
                <w:color w:val="000000" w:themeColor="text1"/>
                <w:kern w:val="0"/>
                <w:sz w:val="21"/>
                <w:szCs w:val="21"/>
                <w14:textFill>
                  <w14:solidFill>
                    <w14:schemeClr w14:val="tx1"/>
                  </w14:solidFill>
                </w14:textFill>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948" w:type="dxa"/>
            <w:vMerge w:val="continue"/>
            <w:tcBorders>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服务团队</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团队成员具有新闻采编从业资格证、网络视听节目审核员证、信息安全员证、系统分析师证书，每提供一类得5分，最多得20分。（同类证书不重复计分）</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（须提供团队成员在本单位的近六个月社保缴纳证明，并加盖单位公章。）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2245" w:type="dxa"/>
            <w:gridSpan w:val="2"/>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合计</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100</w:t>
            </w:r>
          </w:p>
        </w:tc>
        <w:tc>
          <w:tcPr>
            <w:tcW w:w="5395" w:type="dxa"/>
            <w:tcBorders>
              <w:top w:val="single" w:color="auto" w:sz="8" w:space="0"/>
              <w:left w:val="single" w:color="auto" w:sz="8" w:space="0"/>
              <w:bottom w:val="single" w:color="auto" w:sz="8" w:space="0"/>
              <w:right w:val="single" w:color="auto" w:sz="8" w:space="0"/>
            </w:tcBorders>
            <w:noWrap w:val="0"/>
            <w:vAlign w:val="bottom"/>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hint="eastAsia" w:ascii="Times New Roman" w:hAnsi="Times New Roman" w:cs="宋体"/>
          <w:b/>
          <w:color w:val="000000" w:themeColor="text1"/>
          <w:kern w:val="0"/>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价格扣除：</w:t>
      </w:r>
      <w:r>
        <w:rPr>
          <w:rFonts w:hint="eastAsia" w:ascii="黑体" w:hAnsi="黑体" w:eastAsia="黑体" w:cs="黑体"/>
          <w:bCs/>
          <w:color w:val="000000" w:themeColor="text1"/>
          <w14:textFill>
            <w14:solidFill>
              <w14:schemeClr w14:val="tx1"/>
            </w14:solidFill>
          </w14:textFill>
        </w:rPr>
        <w:t>对小型和微型企业产品的价格给予10%的扣除。参加报价的中小企业，应当按照《政府采购促进中小企业发展暂行办法》（财库〔2011〕181号）的规定提供《中小企业声明函》（中小企业划型标准详见《关于印发中小企业划型标准规定的通知》工信部联企业〔2011〕300号）。</w:t>
      </w:r>
    </w:p>
    <w:p>
      <w:pPr>
        <w:keepNext w:val="0"/>
        <w:keepLines w:val="0"/>
        <w:pageBreakBefore w:val="0"/>
        <w:widowControl w:val="0"/>
        <w:kinsoku/>
        <w:wordWrap/>
        <w:overflowPunct/>
        <w:topLinePunct w:val="0"/>
        <w:autoSpaceDE/>
        <w:autoSpaceDN/>
        <w:bidi w:val="0"/>
        <w:adjustRightInd/>
        <w:spacing w:line="320" w:lineRule="exact"/>
        <w:textAlignment w:val="auto"/>
        <w:outlineLvl w:val="0"/>
        <w:rPr>
          <w:rFonts w:hint="eastAsia"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rPr>
          <w:rFonts w:hint="eastAsia" w:ascii="黑体" w:hAnsi="黑体" w:eastAsia="黑体" w:cs="黑体"/>
          <w:color w:val="000000" w:themeColor="text1"/>
          <w:sz w:val="30"/>
          <w:szCs w:val="30"/>
          <w:lang w:val="en-US" w:eastAsia="zh-CN"/>
          <w14:textFill>
            <w14:solidFill>
              <w14:schemeClr w14:val="tx1"/>
            </w14:solidFill>
          </w14:textFill>
        </w:rPr>
      </w:pPr>
    </w:p>
    <w:p>
      <w:pPr>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outlineLvl w:val="0"/>
        <w:rPr>
          <w:rFonts w:hint="eastAsia"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outlineLvl w:val="0"/>
        <w:rPr>
          <w:rFonts w:hint="eastAsia" w:ascii="Times New Roman" w:hAnsi="Times New Roman" w:eastAsia="黑体"/>
          <w:bCs/>
          <w:color w:val="000000" w:themeColor="text1"/>
          <w:sz w:val="24"/>
          <w:szCs w:val="24"/>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hint="eastAsia" w:ascii="Times New Roman" w:hAnsi="Times New Roman" w:eastAsia="黑体"/>
          <w:bCs/>
          <w:color w:val="000000" w:themeColor="text1"/>
          <w:sz w:val="7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hint="eastAsia" w:ascii="Times New Roman" w:hAnsi="Times New Roman" w:eastAsia="黑体"/>
          <w:bCs/>
          <w:color w:val="000000" w:themeColor="text1"/>
          <w:sz w:val="7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hint="eastAsia" w:ascii="Times New Roman" w:hAnsi="Times New Roman" w:eastAsia="黑体"/>
          <w:bCs/>
          <w:color w:val="000000" w:themeColor="text1"/>
          <w:sz w:val="52"/>
          <w:szCs w:val="5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hint="eastAsia" w:ascii="Times New Roman" w:hAnsi="Times New Roman" w:eastAsia="楷体_GB2312"/>
          <w:bCs/>
          <w:color w:val="000000" w:themeColor="text1"/>
          <w:sz w:val="72"/>
          <w14:textFill>
            <w14:solidFill>
              <w14:schemeClr w14:val="tx1"/>
            </w14:solidFill>
          </w14:textFill>
        </w:rPr>
      </w:pPr>
    </w:p>
    <w:p>
      <w:pPr>
        <w:rPr>
          <w:rFonts w:hint="eastAsia" w:ascii="Times New Roman" w:hAnsi="Times New Roman" w:eastAsia="楷体_GB2312"/>
          <w:bCs/>
          <w:color w:val="000000" w:themeColor="text1"/>
          <w:sz w:val="28"/>
          <w:szCs w:val="20"/>
          <w14:textFill>
            <w14:solidFill>
              <w14:schemeClr w14:val="tx1"/>
            </w14:solidFill>
          </w14:textFill>
        </w:rPr>
      </w:pPr>
    </w:p>
    <w:p>
      <w:pPr>
        <w:ind w:firstLine="1120" w:firstLineChars="400"/>
        <w:rPr>
          <w:rFonts w:hint="eastAsia" w:ascii="Times New Roman" w:hAnsi="Times New Roman" w:eastAsia="黑体"/>
          <w:bCs/>
          <w:color w:val="000000" w:themeColor="text1"/>
          <w:sz w:val="28"/>
          <w:szCs w:val="28"/>
          <w:lang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hint="eastAsia" w:ascii="Times New Roman" w:hAnsi="Times New Roman" w:eastAsia="黑体"/>
          <w:bCs/>
          <w:color w:val="000000" w:themeColor="text1"/>
          <w:sz w:val="28"/>
          <w:szCs w:val="28"/>
          <w:lang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w:t>
      </w:r>
    </w:p>
    <w:p>
      <w:pPr>
        <w:ind w:firstLine="1120" w:firstLineChars="400"/>
        <w:rPr>
          <w:rFonts w:hint="eastAsia"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hint="eastAsia" w:ascii="Times New Roman" w:hAnsi="Times New Roman" w:eastAsia="黑体"/>
          <w:bCs/>
          <w:color w:val="000000" w:themeColor="text1"/>
          <w:sz w:val="32"/>
          <w14:textFill>
            <w14:solidFill>
              <w14:schemeClr w14:val="tx1"/>
            </w14:solidFill>
          </w14:textFill>
        </w:rPr>
      </w:pPr>
    </w:p>
    <w:p>
      <w:pPr>
        <w:jc w:val="center"/>
        <w:rPr>
          <w:rFonts w:hint="eastAsia"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   年  月  日</w:t>
      </w:r>
    </w:p>
    <w:p>
      <w:pPr>
        <w:rPr>
          <w:rFonts w:hint="default" w:ascii="黑体" w:hAnsi="黑体" w:eastAsia="黑体" w:cs="黑体"/>
          <w:color w:val="000000" w:themeColor="text1"/>
          <w:sz w:val="30"/>
          <w:szCs w:val="30"/>
          <w:lang w:val="en-US" w:eastAsia="zh-CN"/>
          <w14:textFill>
            <w14:solidFill>
              <w14:schemeClr w14:val="tx1"/>
            </w14:solidFill>
          </w14:textFill>
        </w:rPr>
      </w:pPr>
    </w:p>
    <w:p>
      <w:pPr>
        <w:rPr>
          <w:rFonts w:hint="default" w:ascii="黑体" w:hAnsi="黑体" w:eastAsia="黑体" w:cs="黑体"/>
          <w:color w:val="000000" w:themeColor="text1"/>
          <w:sz w:val="30"/>
          <w:szCs w:val="30"/>
          <w:lang w:val="en-US" w:eastAsia="zh-CN"/>
          <w14:textFill>
            <w14:solidFill>
              <w14:schemeClr w14:val="tx1"/>
            </w14:solidFill>
          </w14:textFill>
        </w:rPr>
      </w:pPr>
    </w:p>
    <w:p>
      <w:pPr>
        <w:rPr>
          <w:rFonts w:hint="default" w:ascii="黑体" w:hAnsi="黑体" w:eastAsia="黑体" w:cs="黑体"/>
          <w:color w:val="000000" w:themeColor="text1"/>
          <w:sz w:val="30"/>
          <w:szCs w:val="30"/>
          <w:lang w:val="en-US" w:eastAsia="zh-CN"/>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Pr>
        <w:outlineLvl w:val="0"/>
        <w:rPr>
          <w:rFonts w:hint="eastAsia" w:ascii="黑体" w:hAnsi="黑体" w:eastAsia="黑体" w:cs="黑体"/>
          <w:b/>
          <w:bCs/>
          <w:color w:val="000000" w:themeColor="text1"/>
          <w:sz w:val="24"/>
          <w:szCs w:val="24"/>
          <w14:textFill>
            <w14:solidFill>
              <w14:schemeClr w14:val="tx1"/>
            </w14:solidFill>
          </w14:textFill>
        </w:rPr>
      </w:pPr>
    </w:p>
    <w:p>
      <w:pPr>
        <w:spacing w:line="360" w:lineRule="auto"/>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36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hint="eastAsia" w:ascii="黑体" w:hAnsi="黑体" w:eastAsia="黑体" w:cs="黑体"/>
          <w:bCs/>
          <w:color w:val="000000" w:themeColor="text1"/>
          <w:sz w:val="24"/>
          <w:szCs w:val="24"/>
          <w:lang w:val="en-US" w:eastAsia="zh-CN"/>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2"/>
        </w:numPr>
        <w:tabs>
          <w:tab w:val="left" w:pos="315"/>
          <w:tab w:val="left" w:pos="840"/>
          <w:tab w:val="left" w:pos="945"/>
          <w:tab w:val="left" w:pos="1050"/>
        </w:tabs>
        <w:spacing w:line="360" w:lineRule="auto"/>
        <w:ind w:left="0"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2"/>
        </w:numPr>
        <w:tabs>
          <w:tab w:val="left" w:pos="0"/>
          <w:tab w:val="left" w:pos="315"/>
          <w:tab w:val="left" w:pos="525"/>
          <w:tab w:val="left" w:pos="840"/>
          <w:tab w:val="left" w:pos="945"/>
          <w:tab w:val="left" w:pos="1050"/>
        </w:tabs>
        <w:spacing w:line="360" w:lineRule="auto"/>
        <w:ind w:left="0" w:firstLine="523" w:firstLineChars="218"/>
        <w:rPr>
          <w:rStyle w:val="9"/>
          <w:rFonts w:hint="eastAsia"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w:t>
      </w:r>
      <w:r>
        <w:rPr>
          <w:rFonts w:hint="eastAsia" w:ascii="黑体" w:hAnsi="黑体" w:eastAsia="黑体" w:cs="黑体"/>
          <w:bCs/>
          <w:color w:val="000000" w:themeColor="text1"/>
          <w:sz w:val="24"/>
          <w:szCs w:val="24"/>
          <w:lang w:eastAsia="zh-CN"/>
          <w14:textFill>
            <w14:solidFill>
              <w14:schemeClr w14:val="tx1"/>
            </w14:solidFill>
          </w14:textFill>
        </w:rPr>
        <w:t>泰州市人民政府办公室</w:t>
      </w:r>
      <w:r>
        <w:rPr>
          <w:rFonts w:hint="eastAsia" w:ascii="黑体" w:hAnsi="黑体" w:eastAsia="黑体" w:cs="黑体"/>
          <w:bCs/>
          <w:color w:val="000000" w:themeColor="text1"/>
          <w:sz w:val="24"/>
          <w:szCs w:val="24"/>
          <w14:textFill>
            <w14:solidFill>
              <w14:schemeClr w14:val="tx1"/>
            </w14:solidFill>
          </w14:textFill>
        </w:rPr>
        <w:t>在采购文件中要求的文件、资料。</w:t>
      </w:r>
    </w:p>
    <w:p>
      <w:pPr>
        <w:numPr>
          <w:ilvl w:val="0"/>
          <w:numId w:val="2"/>
        </w:numPr>
        <w:tabs>
          <w:tab w:val="left" w:pos="0"/>
          <w:tab w:val="left" w:pos="315"/>
          <w:tab w:val="left" w:pos="525"/>
          <w:tab w:val="left" w:pos="630"/>
          <w:tab w:val="left" w:pos="945"/>
          <w:tab w:val="left" w:pos="1050"/>
        </w:tabs>
        <w:spacing w:line="360" w:lineRule="auto"/>
        <w:ind w:left="0" w:firstLine="523" w:firstLineChars="218"/>
        <w:rPr>
          <w:rFonts w:hint="eastAsia"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w:t>
      </w:r>
      <w:r>
        <w:rPr>
          <w:rFonts w:hint="eastAsia" w:ascii="黑体" w:hAnsi="黑体" w:eastAsia="黑体" w:cs="黑体"/>
          <w:bCs/>
          <w:color w:val="000000" w:themeColor="text1"/>
          <w:sz w:val="24"/>
          <w:szCs w:val="24"/>
          <w:lang w:eastAsia="zh-CN"/>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有权决定成交者。</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hint="eastAsia"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0"/>
        <w:rPr>
          <w:rFonts w:hint="eastAsia" w:ascii="黑体" w:hAnsi="黑体" w:eastAsia="黑体" w:cs="黑体"/>
          <w:bCs/>
          <w:color w:val="000000" w:themeColor="text1"/>
          <w:sz w:val="24"/>
          <w:szCs w:val="24"/>
          <w14:textFill>
            <w14:solidFill>
              <w14:schemeClr w14:val="tx1"/>
            </w14:solidFill>
          </w14:textFill>
        </w:rPr>
      </w:pPr>
      <w:bookmarkStart w:id="9" w:name="_Toc534555663"/>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hint="eastAsia" w:ascii="黑体" w:hAnsi="黑体" w:eastAsia="黑体" w:cs="黑体"/>
          <w:bCs/>
          <w:color w:val="000000" w:themeColor="text1"/>
          <w:sz w:val="36"/>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hint="eastAsia" w:ascii="黑体" w:hAnsi="黑体" w:eastAsia="黑体" w:cs="黑体"/>
          <w:bCs/>
          <w:color w:val="000000" w:themeColor="text1"/>
          <w:sz w:val="32"/>
          <w14:textFill>
            <w14:solidFill>
              <w14:schemeClr w14:val="tx1"/>
            </w14:solidFill>
          </w14:textFill>
        </w:rPr>
      </w:pPr>
    </w:p>
    <w:p>
      <w:pPr>
        <w:spacing w:line="480" w:lineRule="auto"/>
        <w:jc w:val="center"/>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hint="eastAsia" w:ascii="黑体" w:hAnsi="黑体" w:eastAsia="黑体" w:cs="黑体"/>
          <w:bCs/>
          <w:color w:val="000000" w:themeColor="text1"/>
          <w:sz w:val="24"/>
          <w:szCs w:val="24"/>
          <w14:textFill>
            <w14:solidFill>
              <w14:schemeClr w14:val="tx1"/>
            </w14:solidFill>
          </w14:textFill>
        </w:rPr>
      </w:pP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hint="eastAsia" w:ascii="黑体" w:hAnsi="黑体" w:eastAsia="黑体" w:cs="黑体"/>
          <w:bCs/>
          <w:color w:val="000000" w:themeColor="text1"/>
          <w:sz w:val="24"/>
          <w:szCs w:val="24"/>
          <w14:textFill>
            <w14:solidFill>
              <w14:schemeClr w14:val="tx1"/>
            </w14:solidFill>
          </w14:textFill>
        </w:rPr>
      </w:pP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Pr>
        <w:outlineLvl w:val="0"/>
        <w:rPr>
          <w:rFonts w:hint="eastAsia" w:ascii="黑体" w:hAnsi="黑体" w:eastAsia="黑体" w:cs="黑体"/>
          <w:bCs/>
          <w:color w:val="000000" w:themeColor="text1"/>
          <w:sz w:val="28"/>
          <w:szCs w:val="28"/>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hint="eastAsia" w:ascii="黑体" w:hAnsi="黑体" w:eastAsia="黑体" w:cs="黑体"/>
          <w:bCs/>
          <w:color w:val="000000" w:themeColor="text1"/>
          <w:sz w:val="36"/>
          <w14:textFill>
            <w14:solidFill>
              <w14:schemeClr w14:val="tx1"/>
            </w14:solidFill>
          </w14:textFill>
        </w:rPr>
      </w:pPr>
    </w:p>
    <w:p>
      <w:pPr>
        <w:spacing w:line="480" w:lineRule="auto"/>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lang w:val="en-US" w:eastAsia="zh-CN"/>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日期：</w:t>
      </w: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60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58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u w:val="none"/>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bookmarkStart w:id="13"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jc w:val="center"/>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hint="eastAsia" w:ascii="黑体" w:hAnsi="黑体" w:eastAsia="黑体" w:cs="黑体"/>
          <w:color w:val="000000" w:themeColor="text1"/>
          <w14:textFill>
            <w14:solidFill>
              <w14:schemeClr w14:val="tx1"/>
            </w14:solidFill>
          </w14:textFill>
        </w:rPr>
      </w:pPr>
    </w:p>
    <w:p>
      <w:pPr>
        <w:rPr>
          <w:rFonts w:hint="eastAsia"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hint="eastAsia" w:ascii="黑体" w:hAnsi="黑体" w:eastAsia="黑体" w:cs="黑体"/>
          <w:bCs/>
          <w:color w:val="000000" w:themeColor="text1"/>
          <w:sz w:val="24"/>
          <w:szCs w:val="24"/>
          <w14:textFill>
            <w14:solidFill>
              <w14:schemeClr w14:val="tx1"/>
            </w14:solidFill>
          </w14:textFill>
        </w:rPr>
      </w:pP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有权将相关内容进行公示。</w:t>
      </w:r>
    </w:p>
    <w:p>
      <w:pPr>
        <w:ind w:firstLine="420" w:firstLineChars="175"/>
        <w:outlineLvl w:val="0"/>
        <w:rPr>
          <w:rFonts w:hint="eastAsia"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4" w:name="_Toc534555668"/>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Pr>
        <w:outlineLvl w:val="0"/>
        <w:rPr>
          <w:rFonts w:hint="eastAsia" w:ascii="黑体" w:hAnsi="黑体" w:eastAsia="黑体" w:cs="黑体"/>
          <w:bCs/>
          <w:color w:val="000000" w:themeColor="text1"/>
          <w:sz w:val="28"/>
          <w:szCs w:val="28"/>
          <w14:textFill>
            <w14:solidFill>
              <w14:schemeClr w14:val="tx1"/>
            </w14:solidFill>
          </w14:textFill>
        </w:rPr>
      </w:pPr>
    </w:p>
    <w:p>
      <w:pPr>
        <w:jc w:val="center"/>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hint="eastAsia" w:ascii="黑体" w:hAnsi="黑体" w:eastAsia="黑体" w:cs="黑体"/>
          <w:bCs/>
          <w:color w:val="000000" w:themeColor="text1"/>
          <w:sz w:val="28"/>
          <w:szCs w:val="28"/>
          <w14:textFill>
            <w14:solidFill>
              <w14:schemeClr w14:val="tx1"/>
            </w14:solidFill>
          </w14:textFill>
        </w:rPr>
      </w:pPr>
    </w:p>
    <w:p>
      <w:pPr>
        <w:spacing w:line="480" w:lineRule="auto"/>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hint="eastAsia"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）所提供的货物均为原厂全新合格品；</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color w:val="000000" w:themeColor="text1"/>
          <w14:textFill>
            <w14:solidFill>
              <w14:schemeClr w14:val="tx1"/>
            </w14:solidFill>
          </w14:textFill>
        </w:rPr>
        <w:instrText xml:space="preserve"> HYPERLINK "http://www.creditchina.gov.cn" </w:instrText>
      </w:r>
      <w:r>
        <w:rPr>
          <w:rFonts w:hint="eastAsia" w:ascii="黑体" w:hAnsi="黑体" w:eastAsia="黑体" w:cs="黑体"/>
          <w:color w:val="000000" w:themeColor="text1"/>
          <w14:textFill>
            <w14:solidFill>
              <w14:schemeClr w14:val="tx1"/>
            </w14:solidFill>
          </w14:textFill>
        </w:rPr>
        <w:fldChar w:fldCharType="separate"/>
      </w:r>
      <w:r>
        <w:rPr>
          <w:rStyle w:val="10"/>
          <w:rFonts w:hint="eastAsia" w:ascii="黑体" w:hAnsi="黑体" w:eastAsia="黑体" w:cs="黑体"/>
          <w:bCs/>
          <w:color w:val="000000" w:themeColor="text1"/>
          <w:sz w:val="24"/>
          <w:szCs w:val="24"/>
          <w14:textFill>
            <w14:solidFill>
              <w14:schemeClr w14:val="tx1"/>
            </w14:solidFill>
          </w14:textFill>
        </w:rPr>
        <w:t>www.creditchina.gov.cn</w:t>
      </w:r>
      <w:r>
        <w:rPr>
          <w:rFonts w:hint="eastAsia" w:ascii="黑体" w:hAnsi="黑体" w:eastAsia="黑体" w:cs="黑体"/>
          <w:color w:val="000000" w:themeColor="text1"/>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hint="eastAsia" w:ascii="黑体" w:hAnsi="黑体" w:eastAsia="黑体" w:cs="黑体"/>
          <w:color w:val="000000" w:themeColor="text1"/>
          <w:sz w:val="24"/>
          <w14:textFill>
            <w14:solidFill>
              <w14:schemeClr w14:val="tx1"/>
            </w14:solidFill>
          </w14:textFill>
        </w:rPr>
      </w:pPr>
    </w:p>
    <w:p>
      <w:pPr>
        <w:spacing w:line="480" w:lineRule="auto"/>
        <w:ind w:firstLine="5400" w:firstLineChars="2250"/>
        <w:rPr>
          <w:rFonts w:hint="eastAsia"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szCs w:val="20"/>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bookmarkStart w:id="15"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Pr>
        <w:jc w:val="center"/>
        <w:outlineLvl w:val="0"/>
        <w:rPr>
          <w:rFonts w:hint="eastAsia" w:ascii="黑体" w:hAnsi="黑体" w:eastAsia="黑体" w:cs="黑体"/>
          <w:bCs/>
          <w:color w:val="000000" w:themeColor="text1"/>
          <w:sz w:val="28"/>
          <w:szCs w:val="28"/>
          <w14:textFill>
            <w14:solidFill>
              <w14:schemeClr w14:val="tx1"/>
            </w14:solidFill>
          </w14:textFill>
        </w:rPr>
      </w:pPr>
    </w:p>
    <w:p>
      <w:pPr>
        <w:spacing w:line="360" w:lineRule="auto"/>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6"/>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noWrap w:val="0"/>
            <w:vAlign w:val="center"/>
          </w:tcPr>
          <w:p>
            <w:pPr>
              <w:pStyle w:val="11"/>
              <w:spacing w:line="400" w:lineRule="exact"/>
              <w:jc w:val="center"/>
              <w:rPr>
                <w:rFonts w:hint="eastAsia" w:ascii="黑体" w:hAnsi="黑体" w:eastAsia="黑体" w:cs="黑体"/>
                <w:bCs/>
                <w:color w:val="000000" w:themeColor="text1"/>
                <w:kern w:val="2"/>
                <w:sz w:val="24"/>
                <w:szCs w:val="24"/>
                <w:lang w:eastAsia="zh-CN"/>
                <w14:textFill>
                  <w14:solidFill>
                    <w14:schemeClr w14:val="tx1"/>
                  </w14:solidFill>
                </w14:textFill>
              </w:rPr>
            </w:pPr>
            <w:r>
              <w:rPr>
                <w:rFonts w:hint="eastAsia" w:ascii="黑体" w:hAnsi="黑体" w:eastAsia="黑体" w:cs="黑体"/>
                <w:color w:val="000000" w:themeColor="text1"/>
                <w:sz w:val="24"/>
                <w:szCs w:val="24"/>
                <w:lang w:val="en-US" w:eastAsia="zh-CN"/>
                <w14:textFill>
                  <w14:solidFill>
                    <w14:schemeClr w14:val="tx1"/>
                  </w14:solidFill>
                </w14:textFill>
              </w:rPr>
              <w:t>泰州市政府网站内容保障服务</w:t>
            </w:r>
          </w:p>
        </w:tc>
        <w:tc>
          <w:tcPr>
            <w:tcW w:w="4515" w:type="dxa"/>
            <w:tcBorders>
              <w:top w:val="single" w:color="auto" w:sz="4" w:space="0"/>
              <w:left w:val="single" w:color="auto" w:sz="4" w:space="0"/>
              <w:bottom w:val="single" w:color="auto" w:sz="4" w:space="0"/>
              <w:right w:val="single" w:color="auto" w:sz="4" w:space="0"/>
            </w:tcBorders>
            <w:noWrap w:val="0"/>
            <w:vAlign w:val="center"/>
          </w:tcPr>
          <w:p>
            <w:pPr>
              <w:pStyle w:val="11"/>
              <w:rPr>
                <w:rFonts w:hint="eastAsia"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8"/>
          <w:szCs w:val="28"/>
          <w14:textFill>
            <w14:solidFill>
              <w14:schemeClr w14:val="tx1"/>
            </w14:solidFill>
          </w14:textFill>
        </w:rPr>
      </w:pPr>
      <w:bookmarkStart w:id="17"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outlineLvl w:val="0"/>
        <w:rPr>
          <w:rFonts w:hint="eastAsia" w:ascii="黑体" w:hAnsi="黑体" w:eastAsia="黑体" w:cs="黑体"/>
          <w:bCs/>
          <w:color w:val="000000" w:themeColor="text1"/>
          <w:sz w:val="28"/>
          <w:szCs w:val="28"/>
          <w14:textFill>
            <w14:solidFill>
              <w14:schemeClr w14:val="tx1"/>
            </w14:solidFill>
          </w14:textFill>
        </w:rPr>
      </w:pPr>
      <w:bookmarkStart w:id="18" w:name="_Toc534555672"/>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6"/>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337"/>
        <w:gridCol w:w="655"/>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spacing w:before="5"/>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noWrap w:val="0"/>
            <w:vAlign w:val="center"/>
          </w:tcPr>
          <w:p>
            <w:pPr>
              <w:jc w:val="center"/>
              <w:rPr>
                <w:rFonts w:hint="eastAsia"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4731"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5049" w:type="dxa"/>
            <w:gridSpan w:val="5"/>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outlineLvl w:val="0"/>
        <w:rPr>
          <w:rFonts w:hint="eastAsia" w:ascii="黑体" w:hAnsi="黑体" w:eastAsia="黑体" w:cs="黑体"/>
          <w:bCs/>
          <w:color w:val="000000" w:themeColor="text1"/>
          <w:sz w:val="28"/>
          <w:szCs w:val="28"/>
          <w14:textFill>
            <w14:solidFill>
              <w14:schemeClr w14:val="tx1"/>
            </w14:solidFill>
          </w14:textFill>
        </w:rPr>
      </w:pPr>
      <w:bookmarkStart w:id="19" w:name="_Toc534555673"/>
    </w:p>
    <w:p>
      <w:pPr>
        <w:spacing w:line="400" w:lineRule="exact"/>
        <w:jc w:val="center"/>
        <w:outlineLvl w:val="0"/>
        <w:rPr>
          <w:rFonts w:hint="eastAsia"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采购需求响应表</w:t>
      </w:r>
      <w:bookmarkEnd w:id="19"/>
    </w:p>
    <w:p>
      <w:pPr>
        <w:spacing w:line="400" w:lineRule="exact"/>
        <w:rPr>
          <w:rFonts w:hint="eastAsia" w:ascii="黑体" w:hAnsi="黑体" w:eastAsia="黑体" w:cs="黑体"/>
          <w:bCs/>
          <w:color w:val="000000" w:themeColor="text1"/>
          <w:sz w:val="24"/>
          <w:szCs w:val="24"/>
          <w14:textFill>
            <w14:solidFill>
              <w14:schemeClr w14:val="tx1"/>
            </w14:solidFill>
          </w14:textFill>
        </w:rPr>
      </w:pPr>
    </w:p>
    <w:tbl>
      <w:tblPr>
        <w:tblStyle w:val="6"/>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bl>
    <w:p>
      <w:pPr>
        <w:spacing w:line="400" w:lineRule="exact"/>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outlineLvl w:val="0"/>
        <w:rPr>
          <w:rFonts w:hint="eastAsia"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outlineLvl w:val="0"/>
        <w:rPr>
          <w:rFonts w:hint="eastAsia"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outlineLvl w:val="0"/>
        <w:rPr>
          <w:rFonts w:hint="eastAsia"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AE7DC9"/>
    <w:rsid w:val="00092509"/>
    <w:rsid w:val="00BB4BAD"/>
    <w:rsid w:val="00C52FC0"/>
    <w:rsid w:val="010603B8"/>
    <w:rsid w:val="015B3238"/>
    <w:rsid w:val="016278A5"/>
    <w:rsid w:val="01A47274"/>
    <w:rsid w:val="01B43460"/>
    <w:rsid w:val="01FB0577"/>
    <w:rsid w:val="01FF774D"/>
    <w:rsid w:val="021C0046"/>
    <w:rsid w:val="02600065"/>
    <w:rsid w:val="028265A2"/>
    <w:rsid w:val="02916808"/>
    <w:rsid w:val="02933CF1"/>
    <w:rsid w:val="02AA088B"/>
    <w:rsid w:val="02F2129E"/>
    <w:rsid w:val="03532830"/>
    <w:rsid w:val="03741E07"/>
    <w:rsid w:val="038C6E0E"/>
    <w:rsid w:val="044B0AFE"/>
    <w:rsid w:val="04717719"/>
    <w:rsid w:val="04A24874"/>
    <w:rsid w:val="04AE367F"/>
    <w:rsid w:val="04E549D9"/>
    <w:rsid w:val="04F00CE2"/>
    <w:rsid w:val="05180BF9"/>
    <w:rsid w:val="05423654"/>
    <w:rsid w:val="05BE41B0"/>
    <w:rsid w:val="05DB66F5"/>
    <w:rsid w:val="0653437F"/>
    <w:rsid w:val="066D05E8"/>
    <w:rsid w:val="06E32278"/>
    <w:rsid w:val="06F60EEA"/>
    <w:rsid w:val="06FE3AD0"/>
    <w:rsid w:val="0717563C"/>
    <w:rsid w:val="07305D00"/>
    <w:rsid w:val="08176F8E"/>
    <w:rsid w:val="08547E6E"/>
    <w:rsid w:val="08806BF3"/>
    <w:rsid w:val="088A442E"/>
    <w:rsid w:val="08BC37E6"/>
    <w:rsid w:val="08F32FBC"/>
    <w:rsid w:val="08F9299B"/>
    <w:rsid w:val="09257BCC"/>
    <w:rsid w:val="093C6FE3"/>
    <w:rsid w:val="098C6266"/>
    <w:rsid w:val="099F1652"/>
    <w:rsid w:val="09A45050"/>
    <w:rsid w:val="09EB2527"/>
    <w:rsid w:val="09F3749B"/>
    <w:rsid w:val="0A6B1393"/>
    <w:rsid w:val="0ACC61C5"/>
    <w:rsid w:val="0B07436C"/>
    <w:rsid w:val="0B317C40"/>
    <w:rsid w:val="0B5E5DFE"/>
    <w:rsid w:val="0B6F669C"/>
    <w:rsid w:val="0B7B2475"/>
    <w:rsid w:val="0BED6D00"/>
    <w:rsid w:val="0C0F52A2"/>
    <w:rsid w:val="0C1D2948"/>
    <w:rsid w:val="0CE57E5A"/>
    <w:rsid w:val="0D0C3638"/>
    <w:rsid w:val="0DC669D4"/>
    <w:rsid w:val="0DCA452C"/>
    <w:rsid w:val="0DE10621"/>
    <w:rsid w:val="0E09687B"/>
    <w:rsid w:val="0E53141C"/>
    <w:rsid w:val="0EA978B3"/>
    <w:rsid w:val="0EAB3E35"/>
    <w:rsid w:val="0EDF3D95"/>
    <w:rsid w:val="0F2774C7"/>
    <w:rsid w:val="0F3A4205"/>
    <w:rsid w:val="0F503CB0"/>
    <w:rsid w:val="0F5336EF"/>
    <w:rsid w:val="0FE54F1B"/>
    <w:rsid w:val="0FE60171"/>
    <w:rsid w:val="0FF4037D"/>
    <w:rsid w:val="0FFF39C6"/>
    <w:rsid w:val="10455129"/>
    <w:rsid w:val="1077526D"/>
    <w:rsid w:val="10B11D49"/>
    <w:rsid w:val="10BE733F"/>
    <w:rsid w:val="10C2298C"/>
    <w:rsid w:val="10DD30C0"/>
    <w:rsid w:val="11321CCC"/>
    <w:rsid w:val="12352A26"/>
    <w:rsid w:val="1285104A"/>
    <w:rsid w:val="12961C7E"/>
    <w:rsid w:val="12A52565"/>
    <w:rsid w:val="12D7480E"/>
    <w:rsid w:val="12DD2895"/>
    <w:rsid w:val="13A03FDE"/>
    <w:rsid w:val="13D12903"/>
    <w:rsid w:val="13EE0BF5"/>
    <w:rsid w:val="13F76773"/>
    <w:rsid w:val="140908D1"/>
    <w:rsid w:val="143407DB"/>
    <w:rsid w:val="152E1DCE"/>
    <w:rsid w:val="154047C7"/>
    <w:rsid w:val="164646ED"/>
    <w:rsid w:val="16973B64"/>
    <w:rsid w:val="176C7287"/>
    <w:rsid w:val="17DF4208"/>
    <w:rsid w:val="17F6345F"/>
    <w:rsid w:val="182C1AE5"/>
    <w:rsid w:val="184A3F75"/>
    <w:rsid w:val="187A755D"/>
    <w:rsid w:val="18831D69"/>
    <w:rsid w:val="188B1D38"/>
    <w:rsid w:val="18CD6858"/>
    <w:rsid w:val="18D25B24"/>
    <w:rsid w:val="18DB4B3E"/>
    <w:rsid w:val="194902DE"/>
    <w:rsid w:val="19491FB0"/>
    <w:rsid w:val="196E54EF"/>
    <w:rsid w:val="199A1428"/>
    <w:rsid w:val="19AC70AA"/>
    <w:rsid w:val="19D1529B"/>
    <w:rsid w:val="19F8741E"/>
    <w:rsid w:val="1A045DC3"/>
    <w:rsid w:val="1A4033B9"/>
    <w:rsid w:val="1A5C0D03"/>
    <w:rsid w:val="1A727520"/>
    <w:rsid w:val="1B0F559D"/>
    <w:rsid w:val="1BC44B51"/>
    <w:rsid w:val="1BC473FC"/>
    <w:rsid w:val="1BCC313F"/>
    <w:rsid w:val="1C8E6AFB"/>
    <w:rsid w:val="1CBD2259"/>
    <w:rsid w:val="1D364F15"/>
    <w:rsid w:val="1D3F17D1"/>
    <w:rsid w:val="1D970B80"/>
    <w:rsid w:val="1D9F21EE"/>
    <w:rsid w:val="1E4F3472"/>
    <w:rsid w:val="1EB7078B"/>
    <w:rsid w:val="1F001448"/>
    <w:rsid w:val="1F09438B"/>
    <w:rsid w:val="1FA346C9"/>
    <w:rsid w:val="1FDE2C12"/>
    <w:rsid w:val="20355085"/>
    <w:rsid w:val="20901FD7"/>
    <w:rsid w:val="20A27562"/>
    <w:rsid w:val="20AC7BD8"/>
    <w:rsid w:val="20BC230A"/>
    <w:rsid w:val="21740DF9"/>
    <w:rsid w:val="218D705C"/>
    <w:rsid w:val="21CC1459"/>
    <w:rsid w:val="21D8575E"/>
    <w:rsid w:val="2207096E"/>
    <w:rsid w:val="2299783B"/>
    <w:rsid w:val="22BA120B"/>
    <w:rsid w:val="22E42C35"/>
    <w:rsid w:val="22FB1D2D"/>
    <w:rsid w:val="233A2407"/>
    <w:rsid w:val="2383154E"/>
    <w:rsid w:val="23860C42"/>
    <w:rsid w:val="239E5047"/>
    <w:rsid w:val="24294678"/>
    <w:rsid w:val="242D5F16"/>
    <w:rsid w:val="24845DF0"/>
    <w:rsid w:val="255816B9"/>
    <w:rsid w:val="256A49D2"/>
    <w:rsid w:val="26086C3B"/>
    <w:rsid w:val="26293F40"/>
    <w:rsid w:val="266A01AB"/>
    <w:rsid w:val="26901106"/>
    <w:rsid w:val="26DF400F"/>
    <w:rsid w:val="27257379"/>
    <w:rsid w:val="274574A6"/>
    <w:rsid w:val="274640EA"/>
    <w:rsid w:val="27C272BD"/>
    <w:rsid w:val="27EB1D1A"/>
    <w:rsid w:val="27F85949"/>
    <w:rsid w:val="28136AB9"/>
    <w:rsid w:val="283E401C"/>
    <w:rsid w:val="28682FE3"/>
    <w:rsid w:val="28F6721F"/>
    <w:rsid w:val="29E07B6F"/>
    <w:rsid w:val="2A124972"/>
    <w:rsid w:val="2A253741"/>
    <w:rsid w:val="2A617E81"/>
    <w:rsid w:val="2A9A1E2C"/>
    <w:rsid w:val="2AA7448F"/>
    <w:rsid w:val="2AD215C5"/>
    <w:rsid w:val="2AED0E83"/>
    <w:rsid w:val="2B113A97"/>
    <w:rsid w:val="2B2006FF"/>
    <w:rsid w:val="2BAE7DC9"/>
    <w:rsid w:val="2BE53280"/>
    <w:rsid w:val="2C324A12"/>
    <w:rsid w:val="2C5D2581"/>
    <w:rsid w:val="2CFE66A2"/>
    <w:rsid w:val="2D530423"/>
    <w:rsid w:val="2D5F08EF"/>
    <w:rsid w:val="2D6F31C0"/>
    <w:rsid w:val="2DE0049D"/>
    <w:rsid w:val="2EA342C1"/>
    <w:rsid w:val="2EA634DC"/>
    <w:rsid w:val="2EBD369F"/>
    <w:rsid w:val="2ED20AEB"/>
    <w:rsid w:val="2FAA7085"/>
    <w:rsid w:val="301E1907"/>
    <w:rsid w:val="30725AAF"/>
    <w:rsid w:val="308710A4"/>
    <w:rsid w:val="30AD35D4"/>
    <w:rsid w:val="30C27406"/>
    <w:rsid w:val="30DA71DA"/>
    <w:rsid w:val="30E5758C"/>
    <w:rsid w:val="31097137"/>
    <w:rsid w:val="313461DC"/>
    <w:rsid w:val="3139239E"/>
    <w:rsid w:val="31692558"/>
    <w:rsid w:val="3173124F"/>
    <w:rsid w:val="31F86124"/>
    <w:rsid w:val="32425283"/>
    <w:rsid w:val="330C4BDB"/>
    <w:rsid w:val="335F3C12"/>
    <w:rsid w:val="33664FA1"/>
    <w:rsid w:val="33A2516B"/>
    <w:rsid w:val="3420663B"/>
    <w:rsid w:val="34BA5A7D"/>
    <w:rsid w:val="35431A3E"/>
    <w:rsid w:val="35432EF2"/>
    <w:rsid w:val="3569358A"/>
    <w:rsid w:val="359A7184"/>
    <w:rsid w:val="35CE72AF"/>
    <w:rsid w:val="361531EB"/>
    <w:rsid w:val="36462ACF"/>
    <w:rsid w:val="36767802"/>
    <w:rsid w:val="37031A7D"/>
    <w:rsid w:val="374F56CD"/>
    <w:rsid w:val="379239EA"/>
    <w:rsid w:val="37FC5A23"/>
    <w:rsid w:val="38397128"/>
    <w:rsid w:val="389600D6"/>
    <w:rsid w:val="38BA1B01"/>
    <w:rsid w:val="391E03F5"/>
    <w:rsid w:val="3A00289B"/>
    <w:rsid w:val="3A766297"/>
    <w:rsid w:val="3AD60C5E"/>
    <w:rsid w:val="3AFC42C0"/>
    <w:rsid w:val="3B180FBF"/>
    <w:rsid w:val="3BA00212"/>
    <w:rsid w:val="3BB40C45"/>
    <w:rsid w:val="3BB70A8F"/>
    <w:rsid w:val="3BBB240E"/>
    <w:rsid w:val="3BC839CB"/>
    <w:rsid w:val="3BE42C77"/>
    <w:rsid w:val="3C6224D2"/>
    <w:rsid w:val="3C8F071A"/>
    <w:rsid w:val="3C940F04"/>
    <w:rsid w:val="3D086B13"/>
    <w:rsid w:val="3D1A67AD"/>
    <w:rsid w:val="3D1C245F"/>
    <w:rsid w:val="3DAA67EA"/>
    <w:rsid w:val="3DFE4381"/>
    <w:rsid w:val="3E2A0839"/>
    <w:rsid w:val="3EC15781"/>
    <w:rsid w:val="3F2F723D"/>
    <w:rsid w:val="401E3772"/>
    <w:rsid w:val="40A84193"/>
    <w:rsid w:val="40C66D7C"/>
    <w:rsid w:val="40CD7D8B"/>
    <w:rsid w:val="40D03CF0"/>
    <w:rsid w:val="41274F71"/>
    <w:rsid w:val="413722F8"/>
    <w:rsid w:val="4162566B"/>
    <w:rsid w:val="41A3367B"/>
    <w:rsid w:val="41B93D8E"/>
    <w:rsid w:val="42E1242C"/>
    <w:rsid w:val="42E324BF"/>
    <w:rsid w:val="42FE5101"/>
    <w:rsid w:val="43632C82"/>
    <w:rsid w:val="439D6CA5"/>
    <w:rsid w:val="43B32386"/>
    <w:rsid w:val="43FC0159"/>
    <w:rsid w:val="441E71D2"/>
    <w:rsid w:val="445A54A3"/>
    <w:rsid w:val="446E5ABA"/>
    <w:rsid w:val="448D14FC"/>
    <w:rsid w:val="44A010D3"/>
    <w:rsid w:val="44C63EF6"/>
    <w:rsid w:val="450F2F4D"/>
    <w:rsid w:val="45120AE5"/>
    <w:rsid w:val="455C02BA"/>
    <w:rsid w:val="45974534"/>
    <w:rsid w:val="45C777DD"/>
    <w:rsid w:val="45D93CF8"/>
    <w:rsid w:val="460778FA"/>
    <w:rsid w:val="46157DE1"/>
    <w:rsid w:val="46390A32"/>
    <w:rsid w:val="47C17695"/>
    <w:rsid w:val="482853D0"/>
    <w:rsid w:val="484130D8"/>
    <w:rsid w:val="488419C4"/>
    <w:rsid w:val="48BA7693"/>
    <w:rsid w:val="48E1614C"/>
    <w:rsid w:val="495D2A63"/>
    <w:rsid w:val="4A196989"/>
    <w:rsid w:val="4A2B46A6"/>
    <w:rsid w:val="4A3437C8"/>
    <w:rsid w:val="4A413C1A"/>
    <w:rsid w:val="4A43504F"/>
    <w:rsid w:val="4A77471A"/>
    <w:rsid w:val="4A8325B4"/>
    <w:rsid w:val="4B0E61F2"/>
    <w:rsid w:val="4B2F5D46"/>
    <w:rsid w:val="4B8C1837"/>
    <w:rsid w:val="4C2B763A"/>
    <w:rsid w:val="4C653FA5"/>
    <w:rsid w:val="4C7A2F8A"/>
    <w:rsid w:val="4C9452B1"/>
    <w:rsid w:val="4CB4602F"/>
    <w:rsid w:val="4CC0037C"/>
    <w:rsid w:val="4CF46F70"/>
    <w:rsid w:val="4D573E80"/>
    <w:rsid w:val="4DD116C7"/>
    <w:rsid w:val="4E473EF5"/>
    <w:rsid w:val="4E9632DF"/>
    <w:rsid w:val="4EB073B6"/>
    <w:rsid w:val="4EC67983"/>
    <w:rsid w:val="4EE541A0"/>
    <w:rsid w:val="4FA15887"/>
    <w:rsid w:val="4FB335BE"/>
    <w:rsid w:val="503D45AF"/>
    <w:rsid w:val="50406E4E"/>
    <w:rsid w:val="50446212"/>
    <w:rsid w:val="50C94AC3"/>
    <w:rsid w:val="50E672C9"/>
    <w:rsid w:val="51234079"/>
    <w:rsid w:val="51424D29"/>
    <w:rsid w:val="514E4A3B"/>
    <w:rsid w:val="5157501E"/>
    <w:rsid w:val="51DF1C08"/>
    <w:rsid w:val="51F543D1"/>
    <w:rsid w:val="5203566E"/>
    <w:rsid w:val="52264A2A"/>
    <w:rsid w:val="5250558C"/>
    <w:rsid w:val="525577BF"/>
    <w:rsid w:val="52794DEA"/>
    <w:rsid w:val="52AE2E4B"/>
    <w:rsid w:val="532C7470"/>
    <w:rsid w:val="534D3630"/>
    <w:rsid w:val="53867E18"/>
    <w:rsid w:val="53EC1512"/>
    <w:rsid w:val="54190C98"/>
    <w:rsid w:val="54E3272C"/>
    <w:rsid w:val="54EC3C83"/>
    <w:rsid w:val="555A19FA"/>
    <w:rsid w:val="55867F89"/>
    <w:rsid w:val="558C6E64"/>
    <w:rsid w:val="559C2735"/>
    <w:rsid w:val="55A37825"/>
    <w:rsid w:val="561F12B3"/>
    <w:rsid w:val="56A342BF"/>
    <w:rsid w:val="56B539C6"/>
    <w:rsid w:val="570D735E"/>
    <w:rsid w:val="57567E33"/>
    <w:rsid w:val="57935C2B"/>
    <w:rsid w:val="57C57028"/>
    <w:rsid w:val="57CC4E98"/>
    <w:rsid w:val="57DD31D4"/>
    <w:rsid w:val="580F5323"/>
    <w:rsid w:val="584D2D67"/>
    <w:rsid w:val="585B1535"/>
    <w:rsid w:val="586104BF"/>
    <w:rsid w:val="58815BB6"/>
    <w:rsid w:val="591A6C49"/>
    <w:rsid w:val="5A017314"/>
    <w:rsid w:val="5A2300FE"/>
    <w:rsid w:val="5A3918D1"/>
    <w:rsid w:val="5A5257C7"/>
    <w:rsid w:val="5A912E85"/>
    <w:rsid w:val="5A9D30EE"/>
    <w:rsid w:val="5A9F4BAA"/>
    <w:rsid w:val="5AB520F6"/>
    <w:rsid w:val="5AC2519E"/>
    <w:rsid w:val="5ADD173D"/>
    <w:rsid w:val="5B114D75"/>
    <w:rsid w:val="5BA612DD"/>
    <w:rsid w:val="5BE65BED"/>
    <w:rsid w:val="5C4F45D9"/>
    <w:rsid w:val="5C592563"/>
    <w:rsid w:val="5C621EFA"/>
    <w:rsid w:val="5CB5143D"/>
    <w:rsid w:val="5CB6788F"/>
    <w:rsid w:val="5CFB2509"/>
    <w:rsid w:val="5D5C4B9B"/>
    <w:rsid w:val="5D8977E8"/>
    <w:rsid w:val="5D8B5480"/>
    <w:rsid w:val="5DCA3BC2"/>
    <w:rsid w:val="5DCD3D84"/>
    <w:rsid w:val="5E156CE8"/>
    <w:rsid w:val="5E2C0A11"/>
    <w:rsid w:val="5E8819C0"/>
    <w:rsid w:val="5ECC6013"/>
    <w:rsid w:val="5EDF0D80"/>
    <w:rsid w:val="5EE66E12"/>
    <w:rsid w:val="5F0D3761"/>
    <w:rsid w:val="5F49412A"/>
    <w:rsid w:val="5FB507E3"/>
    <w:rsid w:val="5FFC560E"/>
    <w:rsid w:val="604D23A5"/>
    <w:rsid w:val="60522285"/>
    <w:rsid w:val="609A0B1D"/>
    <w:rsid w:val="60B71D43"/>
    <w:rsid w:val="61147F15"/>
    <w:rsid w:val="621C2B4B"/>
    <w:rsid w:val="6247394A"/>
    <w:rsid w:val="62D376AD"/>
    <w:rsid w:val="62E2326E"/>
    <w:rsid w:val="62F603F2"/>
    <w:rsid w:val="63084EA6"/>
    <w:rsid w:val="63377DBA"/>
    <w:rsid w:val="635C56E2"/>
    <w:rsid w:val="63676CF4"/>
    <w:rsid w:val="642F3009"/>
    <w:rsid w:val="64793D54"/>
    <w:rsid w:val="64846AFF"/>
    <w:rsid w:val="64A21A2D"/>
    <w:rsid w:val="65C21C5B"/>
    <w:rsid w:val="65C8066C"/>
    <w:rsid w:val="65F2282A"/>
    <w:rsid w:val="66003847"/>
    <w:rsid w:val="665D0DC8"/>
    <w:rsid w:val="66753360"/>
    <w:rsid w:val="670D06CD"/>
    <w:rsid w:val="672656D9"/>
    <w:rsid w:val="675954A1"/>
    <w:rsid w:val="67A665F9"/>
    <w:rsid w:val="67B05F5B"/>
    <w:rsid w:val="681B518D"/>
    <w:rsid w:val="68242684"/>
    <w:rsid w:val="68331AA0"/>
    <w:rsid w:val="686456D7"/>
    <w:rsid w:val="687C3BF5"/>
    <w:rsid w:val="688B0AA1"/>
    <w:rsid w:val="689C1C4D"/>
    <w:rsid w:val="68E237BF"/>
    <w:rsid w:val="68EF7CC2"/>
    <w:rsid w:val="696427A8"/>
    <w:rsid w:val="69860523"/>
    <w:rsid w:val="69926EB4"/>
    <w:rsid w:val="69C67D3B"/>
    <w:rsid w:val="6ADA4CF4"/>
    <w:rsid w:val="6AED45AA"/>
    <w:rsid w:val="6B167C88"/>
    <w:rsid w:val="6BD74428"/>
    <w:rsid w:val="6C6A54E0"/>
    <w:rsid w:val="6CC44C93"/>
    <w:rsid w:val="6D4249BD"/>
    <w:rsid w:val="6D5239D7"/>
    <w:rsid w:val="6DD76181"/>
    <w:rsid w:val="6DF77C1C"/>
    <w:rsid w:val="6E2C680B"/>
    <w:rsid w:val="6E354F33"/>
    <w:rsid w:val="6EF14DCE"/>
    <w:rsid w:val="6FCD69DE"/>
    <w:rsid w:val="700D38BA"/>
    <w:rsid w:val="702A75CC"/>
    <w:rsid w:val="71A02026"/>
    <w:rsid w:val="71AA5D0F"/>
    <w:rsid w:val="71E5623C"/>
    <w:rsid w:val="722E5CA0"/>
    <w:rsid w:val="724F304C"/>
    <w:rsid w:val="725B71E8"/>
    <w:rsid w:val="72BA2638"/>
    <w:rsid w:val="72D03C09"/>
    <w:rsid w:val="73474106"/>
    <w:rsid w:val="73BE7F06"/>
    <w:rsid w:val="753535B8"/>
    <w:rsid w:val="758A339B"/>
    <w:rsid w:val="759060C1"/>
    <w:rsid w:val="75964A50"/>
    <w:rsid w:val="75C225F2"/>
    <w:rsid w:val="76292D9B"/>
    <w:rsid w:val="765E32DA"/>
    <w:rsid w:val="767C78F2"/>
    <w:rsid w:val="76A005BE"/>
    <w:rsid w:val="7743072A"/>
    <w:rsid w:val="77482DDB"/>
    <w:rsid w:val="7758279B"/>
    <w:rsid w:val="77E96D32"/>
    <w:rsid w:val="781406A8"/>
    <w:rsid w:val="784547D6"/>
    <w:rsid w:val="78463A7B"/>
    <w:rsid w:val="78D60608"/>
    <w:rsid w:val="78EC2E1F"/>
    <w:rsid w:val="793F2F4F"/>
    <w:rsid w:val="795175A4"/>
    <w:rsid w:val="798B24E5"/>
    <w:rsid w:val="79CF4DFE"/>
    <w:rsid w:val="7A141D64"/>
    <w:rsid w:val="7A2A1655"/>
    <w:rsid w:val="7A770D9F"/>
    <w:rsid w:val="7A7C01D3"/>
    <w:rsid w:val="7B0914F7"/>
    <w:rsid w:val="7B6E3FBF"/>
    <w:rsid w:val="7BF137BA"/>
    <w:rsid w:val="7C1102ED"/>
    <w:rsid w:val="7C1A7CA3"/>
    <w:rsid w:val="7CA23153"/>
    <w:rsid w:val="7CB21264"/>
    <w:rsid w:val="7CDF0622"/>
    <w:rsid w:val="7D313E4E"/>
    <w:rsid w:val="7D3717EE"/>
    <w:rsid w:val="7D4626E5"/>
    <w:rsid w:val="7D4E3432"/>
    <w:rsid w:val="7D5907B2"/>
    <w:rsid w:val="7DA83819"/>
    <w:rsid w:val="7DE87300"/>
    <w:rsid w:val="7E2F7976"/>
    <w:rsid w:val="7E7F44AE"/>
    <w:rsid w:val="7EAB1087"/>
    <w:rsid w:val="7EBC14E6"/>
    <w:rsid w:val="7EE724FF"/>
    <w:rsid w:val="7FE44850"/>
    <w:rsid w:val="7FF4717D"/>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te Heading"/>
    <w:basedOn w:val="1"/>
    <w:next w:val="1"/>
    <w:qFormat/>
    <w:uiPriority w:val="0"/>
    <w:pPr>
      <w:widowControl w:val="0"/>
      <w:spacing w:before="0" w:after="0" w:line="360" w:lineRule="auto"/>
      <w:ind w:left="0" w:right="0" w:firstLine="480"/>
      <w:jc w:val="center"/>
    </w:pPr>
    <w:rPr>
      <w:rFonts w:ascii="Times New Roman" w:hAnsi="Times New Roman" w:eastAsia="宋体" w:cs="Times New Roman"/>
      <w:kern w:val="2"/>
      <w:sz w:val="21"/>
      <w:szCs w:val="24"/>
      <w:lang w:val="zh-CN"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TML Typewriter"/>
    <w:qFormat/>
    <w:uiPriority w:val="0"/>
    <w:rPr>
      <w:rFonts w:ascii="宋体" w:hAnsi="宋体" w:eastAsia="宋体" w:cs="宋体"/>
      <w:sz w:val="24"/>
      <w:szCs w:val="24"/>
    </w:rPr>
  </w:style>
  <w:style w:type="character" w:styleId="10">
    <w:name w:val="Hyperlink"/>
    <w:unhideWhenUsed/>
    <w:qFormat/>
    <w:uiPriority w:val="99"/>
    <w:rPr>
      <w:color w:val="0000FF"/>
      <w:u w:val="single"/>
    </w:rPr>
  </w:style>
  <w:style w:type="paragraph" w:customStyle="1" w:styleId="11">
    <w:name w:val="普通文字"/>
    <w:basedOn w:val="1"/>
    <w:next w:val="1"/>
    <w:qFormat/>
    <w:uiPriority w:val="0"/>
    <w:rPr>
      <w:rFonts w:ascii="宋体" w:hAnsi="Times New Roman" w:eastAsia="宋体"/>
      <w:kern w:val="0"/>
      <w:sz w:val="24"/>
      <w:szCs w:val="20"/>
      <w:u w:val="none" w:color="000000"/>
    </w:rPr>
  </w:style>
  <w:style w:type="paragraph" w:styleId="12">
    <w:name w:val="List Paragraph"/>
    <w:basedOn w:val="1"/>
    <w:qFormat/>
    <w:uiPriority w:val="34"/>
    <w:pPr>
      <w:ind w:firstLine="420" w:firstLineChars="200"/>
    </w:pPr>
    <w:rPr>
      <w:rFonts w:ascii="Calibri" w:hAnsi="Calibri" w:eastAsia="宋体"/>
    </w:rPr>
  </w:style>
  <w:style w:type="paragraph" w:customStyle="1" w:styleId="13">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11378</Words>
  <Characters>11803</Characters>
  <Lines>0</Lines>
  <Paragraphs>0</Paragraphs>
  <TotalTime>0</TotalTime>
  <ScaleCrop>false</ScaleCrop>
  <LinksUpToDate>false</LinksUpToDate>
  <CharactersWithSpaces>12433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2021-01-01T13:46:00Z</dcterms:created>
  <dc:creator>永乐</dc:creator>
  <cp:lastModifiedBy>梁鑫晨</cp:lastModifiedBy>
  <dcterms:modified xsi:type="dcterms:W3CDTF">2022-04-08T07:06:28Z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SaveFontToCloudKey">
    <vt:lpwstr>425223680_cloud</vt:lpwstr>
  </property>
  <property fmtid="{D5CDD505-2E9C-101B-9397-08002B2CF9AE}" pid="4" name="ICV">
    <vt:lpwstr>24F3C8FB1510464B81AA53B6186F8D6E</vt:lpwstr>
  </property>
</Properties>
</file>