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pacing w:val="20"/>
          <w:sz w:val="52"/>
          <w:szCs w:val="52"/>
          <w14:textFill>
            <w14:solidFill>
              <w14:schemeClr w14:val="tx1"/>
            </w14:solidFill>
          </w14:textFill>
        </w:rPr>
      </w:pPr>
      <w:r>
        <w:rPr>
          <w:rFonts w:hint="eastAsia"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198120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6pt;height:0pt;width:0.05pt;z-index:251659264;mso-width-relative:page;mso-height-relative:page;" filled="f" stroked="t" coordsize="21600,21600" o:allowincell="f" o:gfxdata="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YL9/61wAAAAkBAAAP&#10;AAAAAAAAAAEAIAAAACIAAABkcnMvZG93bnJldi54bWxQSwECFAAUAAAACACHTuJA6OBJjeABAACy&#10;AwAADgAAAAAAAAABACAAAAAmAQAAZHJzL2Uyb0RvYy54bWxQSwUGAAAAAAYABgBZAQAAeA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tabs>
          <w:tab w:val="left" w:pos="9921"/>
        </w:tabs>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黑体" w:hAnsi="黑体" w:eastAsia="黑体" w:cs="黑体"/>
          <w:bCs/>
          <w:color w:val="000000" w:themeColor="text1"/>
          <w:sz w:val="30"/>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default" w:ascii="黑体" w:hAnsi="黑体" w:eastAsia="黑体" w:cs="黑体"/>
          <w:bCs/>
          <w:color w:val="FF0000"/>
          <w:sz w:val="30"/>
          <w:szCs w:val="30"/>
          <w:lang w:val="en-US" w:eastAsia="zh-CN"/>
        </w:rPr>
      </w:pPr>
      <w:r>
        <w:rPr>
          <w:rFonts w:hint="eastAsia" w:ascii="黑体" w:hAnsi="黑体" w:eastAsia="黑体" w:cs="黑体"/>
          <w:bCs/>
          <w:sz w:val="30"/>
          <w:szCs w:val="30"/>
          <w:lang w:val="en-US" w:eastAsia="zh-CN"/>
        </w:rPr>
        <w:t>采购项目编号：TZZFBJC2022004</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w:t>
      </w:r>
      <w:r>
        <w:rPr>
          <w:rFonts w:hint="eastAsia" w:ascii="黑体" w:hAnsi="黑体" w:eastAsia="黑体" w:cs="黑体"/>
          <w:color w:val="000000" w:themeColor="text1"/>
          <w:sz w:val="30"/>
          <w:szCs w:val="30"/>
          <w:lang w:val="en-US" w:eastAsia="zh-CN"/>
          <w14:textFill>
            <w14:solidFill>
              <w14:schemeClr w14:val="tx1"/>
            </w14:solidFill>
          </w14:textFill>
        </w:rPr>
        <w:t>市政府办公室自建项目等保测评服务</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采购人：泰州市人民政府办公室</w:t>
      </w: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ind w:left="1470" w:leftChars="700"/>
        <w:textAlignment w:val="auto"/>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bCs/>
          <w:color w:val="000000" w:themeColor="text1"/>
          <w:sz w:val="30"/>
          <w:szCs w:val="30"/>
          <w:lang w:val="en-US" w:eastAsia="zh-CN"/>
          <w14:textFill>
            <w14:solidFill>
              <w14:schemeClr w14:val="tx1"/>
            </w14:solidFill>
          </w14:textFill>
        </w:rPr>
      </w:pPr>
      <w:r>
        <w:rPr>
          <w:rFonts w:hint="eastAsia" w:ascii="黑体" w:hAnsi="黑体" w:eastAsia="黑体" w:cs="黑体"/>
          <w:bCs/>
          <w:color w:val="000000" w:themeColor="text1"/>
          <w:sz w:val="30"/>
          <w:szCs w:val="30"/>
          <w:lang w:val="en-US" w:eastAsia="zh-CN"/>
          <w14:textFill>
            <w14:solidFill>
              <w14:schemeClr w14:val="tx1"/>
            </w14:solidFill>
          </w14:textFill>
        </w:rPr>
        <w:t>二〇二二年六月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ind w:firstLine="2880" w:firstLineChars="600"/>
        <w:textAlignment w:val="auto"/>
        <w:rPr>
          <w:rFonts w:hint="eastAsia"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48"/>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bCs/>
          <w:color w:val="000000" w:themeColor="text1"/>
          <w:sz w:val="48"/>
          <w14:textFill>
            <w14:solidFill>
              <w14:schemeClr w14:val="tx1"/>
            </w14:solidFill>
          </w14:textFill>
        </w:rPr>
      </w:pP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lang w:eastAsia="zh-CN"/>
          <w14:textFill>
            <w14:solidFill>
              <w14:schemeClr w14:val="tx1"/>
            </w14:solidFill>
          </w14:textFill>
        </w:rPr>
        <w:t>磋商</w:t>
      </w:r>
      <w:r>
        <w:rPr>
          <w:rFonts w:hint="eastAsia" w:ascii="黑体" w:hAnsi="黑体" w:eastAsia="黑体" w:cs="黑体"/>
          <w:bCs/>
          <w:color w:val="000000" w:themeColor="text1"/>
          <w:sz w:val="30"/>
          <w:szCs w:val="30"/>
          <w14:textFill>
            <w14:solidFill>
              <w14:schemeClr w14:val="tx1"/>
            </w14:solidFill>
          </w14:textFill>
        </w:rPr>
        <w:t>邀请函</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lang w:eastAsia="zh-CN"/>
          <w14:textFill>
            <w14:solidFill>
              <w14:schemeClr w14:val="tx1"/>
            </w14:solidFill>
          </w14:textFill>
        </w:rPr>
        <w:t>供应商</w:t>
      </w:r>
      <w:r>
        <w:rPr>
          <w:rFonts w:hint="eastAsia" w:ascii="黑体" w:hAnsi="黑体" w:eastAsia="黑体" w:cs="黑体"/>
          <w:bCs/>
          <w:color w:val="000000" w:themeColor="text1"/>
          <w:sz w:val="30"/>
          <w:szCs w:val="30"/>
          <w14:textFill>
            <w14:solidFill>
              <w14:schemeClr w14:val="tx1"/>
            </w14:solidFill>
          </w14:textFill>
        </w:rPr>
        <w:t>须知</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keepNext w:val="0"/>
        <w:keepLines w:val="0"/>
        <w:pageBreakBefore w:val="0"/>
        <w:numPr>
          <w:ilvl w:val="0"/>
          <w:numId w:val="1"/>
        </w:numPr>
        <w:kinsoku/>
        <w:wordWrap/>
        <w:overflowPunct/>
        <w:topLinePunct w:val="0"/>
        <w:autoSpaceDE/>
        <w:autoSpaceDN/>
        <w:bidi w:val="0"/>
        <w:adjustRightInd/>
        <w:snapToGrid/>
        <w:spacing w:line="240" w:lineRule="auto"/>
        <w:ind w:left="958" w:hanging="958"/>
        <w:textAlignment w:val="auto"/>
        <w:rPr>
          <w:rFonts w:hint="eastAsia"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一．磋商邀请函</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我单位对市政府办公室自建项目等保测评服务项目进行竞争性磋商采购，欢迎符合相关条件的供应商参加磋商并提请注意下列相关事项：</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（一）采购项目信息</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1.项目名称：市政府办公室自建项目等保测评服务</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2.项目编号：TZZFBJC2022004</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3.项目预算：28.5</w:t>
      </w:r>
      <w:r>
        <w:rPr>
          <w:rFonts w:hint="eastAsia" w:ascii="黑体" w:hAnsi="黑体" w:eastAsia="黑体" w:cs="黑体"/>
          <w:color w:val="000000" w:themeColor="text1"/>
          <w:sz w:val="28"/>
          <w:szCs w:val="28"/>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4.采购方式：竞争性磋商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5.采购人：泰州市人民政府办公室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（二）供应商资格要求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1.具备《中华人民共和国政府采购法》第二十二条第一款规定的条件；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2.未被“信用中国”网站（www.creditchina.gov.cn）列入失信执行人、重大税收违法案件当事人名单、政府采购严重违法失信行为记录名单；</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3.具备采购人根据采购项目的特殊要求规定的以下特定条件：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4.不接受联合体投标</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（三）磋商时间、地点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磋商文件接收开始时间：2022年7月4日 9:00</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磋商文件接收截止时间：2022年7月4日 9:30，磋商截止时间后的磋商文件恕不接受</w:t>
      </w:r>
    </w:p>
    <w:p>
      <w:pPr>
        <w:ind w:firstLine="560" w:firstLineChars="200"/>
        <w:rPr>
          <w:rFonts w:hint="eastAsia" w:ascii="黑体" w:hAnsi="黑体" w:eastAsia="黑体" w:cs="黑体"/>
          <w:color w:val="FF0000"/>
          <w:sz w:val="28"/>
          <w:szCs w:val="28"/>
        </w:rPr>
      </w:pPr>
      <w:r>
        <w:rPr>
          <w:rFonts w:hint="eastAsia" w:ascii="黑体" w:hAnsi="黑体" w:eastAsia="黑体" w:cs="黑体"/>
          <w:color w:val="000000" w:themeColor="text1"/>
          <w:sz w:val="28"/>
          <w:szCs w:val="28"/>
          <w14:textFill>
            <w14:solidFill>
              <w14:schemeClr w14:val="tx1"/>
            </w14:solidFill>
          </w14:textFill>
        </w:rPr>
        <w:t>磋商文件接收地点：</w:t>
      </w:r>
      <w:r>
        <w:rPr>
          <w:rFonts w:hint="eastAsia" w:ascii="黑体" w:hAnsi="黑体" w:eastAsia="黑体" w:cs="黑体"/>
          <w:color w:val="000000" w:themeColor="text1"/>
          <w:sz w:val="28"/>
          <w:szCs w:val="28"/>
          <w:lang w:val="en-US" w:eastAsia="zh-CN"/>
          <w14:textFill>
            <w14:solidFill>
              <w14:schemeClr w14:val="tx1"/>
            </w14:solidFill>
          </w14:textFill>
        </w:rPr>
        <w:t>泰州市机关大院（泰州市海陵区凤凰东路58号）</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（四）响应文件份数：响应文件一式三份，其中正本一份，副本二份。</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（五）磋商有效期：磋商之日起90天</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FF0000"/>
          <w:sz w:val="28"/>
          <w:szCs w:val="28"/>
          <w:lang w:val="en-US" w:eastAsia="zh-CN"/>
        </w:rPr>
      </w:pPr>
      <w:r>
        <w:rPr>
          <w:rFonts w:hint="eastAsia" w:ascii="黑体" w:hAnsi="黑体" w:eastAsia="黑体" w:cs="黑体"/>
          <w:color w:val="FF0000"/>
          <w:sz w:val="28"/>
          <w:szCs w:val="28"/>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ind w:firstLine="600" w:firstLineChars="200"/>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二．供应商须知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（一）遵循原则：</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公开透明原则、公平竞争原则、公正原则和诚实信用原则。</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（二）采购文件：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1、采购文件包括本文件目录所列全部内容，供应商应仔细阅读，并在响应文件中充分响应采购文件的所有要求。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2、采购文件中的“法定代表人”是指供应商的营业执照或相关部门的登记证明文件中的“法定代表人”或“负责人”。</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4、采购文件仅作为本次磋商使用。</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（三） 采购文件的解释：</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本文件的最终解释权归泰州市人民政府办公室。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 xml:space="preserve">（四） 采购文件的补充或修正：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1、在磋商截止时间5日前泰州市人民政府办公室可对采购文件进行必要的澄清或者修改，不足5日的，将顺延提交响应文件的截止时间。</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（五） 响应文件的组成：</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1、响应函（格式见附件）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2、资格、资信证明文件：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（1）关于资格的声明函（格式见附件）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（2）具有独立承担民事责任能力的供应商营业执照或相关部门的登记证明文件复印件；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（3）供应商法定代表人授权委托书（格式见附件，法定代表人亲自参加磋商的除外）；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（4）供应商法定代表人身份证复印件；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（5）供应商法定代表人授权代表身份证复印件（法定代表人亲自参加磋商的除外）；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（6）供应商近三个月中任意一个月份(不含磋商当月) 的财务状况报告（资产负债表和利润表）或由会计师事务所出具的近两年中任意一个年度的审计报告和所附已审财务报告复印件；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（7）供应商近三个月中任意一个月份(不含磋商当月) 的依法缴纳税收的相关材料（提供相关主管部门证明或银行代扣证明）复印件；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（8）供应商近三个月中任意一个月份(不含磋商当月)的依法缴纳社会保障资金的相关材料（提供相关主管部门证明或银行代扣证明）复印件；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（9）承诺书（格式见附件）；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（10）采购人要求的特定资质证明复印件（详见“磋商邀请函”-“供应商资格要求”之3中要求）。</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3、报价一览表</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4、明细报价及采购需求响应表（格式见附件）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5、评分标准中对应的其它所需证明材料（如有自行添加）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6、要求采购人提供的配合（如有自拟并自行添加）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7、其它（供应商认为有必要提供的声明和文件，如有自拟并自行添加）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（六） 响应文件的制作：</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1、所有文件、往来函件均应使用简体中文（规格、型号辅助符号例外）。</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3、如无特别说明，供应商参与磋商一律以人民币为结算货币,结算单位为“元”。</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4、响应文件应用不褪色的墨水书写或打印。</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5、响应文件应按照“响应文件的组成”顺序制作，并编制目录、页码，装订成册。</w:t>
      </w:r>
    </w:p>
    <w:p>
      <w:pPr>
        <w:keepNext w:val="0"/>
        <w:keepLines w:val="0"/>
        <w:pageBreakBefore w:val="0"/>
        <w:kinsoku/>
        <w:wordWrap/>
        <w:overflowPunct/>
        <w:topLinePunct w:val="0"/>
        <w:autoSpaceDE/>
        <w:autoSpaceDN/>
        <w:bidi w:val="0"/>
        <w:adjustRightInd/>
        <w:snapToGrid/>
        <w:spacing w:line="240" w:lineRule="auto"/>
        <w:ind w:firstLine="562" w:firstLineChars="200"/>
        <w:textAlignment w:val="auto"/>
        <w:rPr>
          <w:rFonts w:hint="eastAsia" w:ascii="黑体" w:hAnsi="黑体" w:eastAsia="黑体" w:cs="黑体"/>
          <w:b/>
          <w:bCs/>
          <w:color w:val="000000" w:themeColor="text1"/>
          <w:sz w:val="28"/>
          <w:szCs w:val="28"/>
          <w:lang w:val="en-US" w:eastAsia="zh-CN"/>
          <w14:textFill>
            <w14:solidFill>
              <w14:schemeClr w14:val="tx1"/>
            </w14:solidFill>
          </w14:textFill>
        </w:rPr>
      </w:pPr>
      <w:r>
        <w:rPr>
          <w:rFonts w:hint="eastAsia" w:ascii="黑体" w:hAnsi="黑体" w:eastAsia="黑体" w:cs="黑体"/>
          <w:b/>
          <w:bCs/>
          <w:color w:val="000000" w:themeColor="text1"/>
          <w:sz w:val="28"/>
          <w:szCs w:val="28"/>
          <w:lang w:val="en-US" w:eastAsia="zh-CN"/>
          <w14:textFill>
            <w14:solidFill>
              <w14:schemeClr w14:val="tx1"/>
            </w14:solidFill>
          </w14:textFill>
        </w:rPr>
        <w:t>6、响应文件一式三份，其中正本一份，副本二份，并注明“正本”、“副本”字样，密封，同时注明项目名称及编号并加盖公章。</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7、响应文件不应有涂改、增删和潦草之处，如有必须修改时，修改处必须有供应商盖章、法定代表人或法定代表人授权代表的签字。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8、磋商费用自理。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（七） 无效响应文件的确认：</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供应商有下列情况之一者，其响应文件无效：</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1、响应文件未按规定的期限、地点送达的；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2、响应文件未按要求密封、签署、盖章的；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3、供应商的法定代表人或法定代表人授权代表，未准时参加磋商会议的；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4、供应商的法定代表人授权代表，无法定代表人授权委托书的；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5、不具备采购文件中规定的资格要求或未按采购文件规定的要求提供资格、资信证明文件的；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6、被“信用中国”网站（</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"http://www.creditchina.gov.cn"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www.creditchina.gov.cn</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）列入失信执行人、重大税收违法案件当事人名单、政府采购严重违法失信行为记录名单的；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7、响应文件未按采购文件规定的内容和要求填写的；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8、响应文件书写潦草、字迹模糊不清、无法辨认的；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9、响应文件中有采购文件未允许提供的选择性内容的；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10、不同供应商委托同一单位或者个人办理磋商事宜的；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11、不同供应商的单位负责人为同一人或者存在直接控股、管理关系的；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15、项目（标段）总报价超过本项目（标段）预算或最高限价的；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16、提供虚假材料的（包括工商营业执照、财务报表、资格证明文件等）；</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17、磋商小组认定供应商报价明显不合理，有可能影响商品质量和不能诚信履约的；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18、除单一来源采购项目外，为采购项目提供整体设计、规范编制或者项目管理、监理、检测等服务的；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19、响应文件内容不全或不符合采购文件中规定的其它实质性要求的；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20、法律法规和采购文件规定的其它无效情形。</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0" w:name="_Toc534555652"/>
      <w:r>
        <w:rPr>
          <w:rFonts w:hint="eastAsia" w:ascii="黑体" w:hAnsi="黑体" w:eastAsia="黑体" w:cs="黑体"/>
          <w:color w:val="000000" w:themeColor="text1"/>
          <w:sz w:val="28"/>
          <w:szCs w:val="28"/>
          <w:lang w:val="en-US" w:eastAsia="zh-CN"/>
          <w14:textFill>
            <w14:solidFill>
              <w14:schemeClr w14:val="tx1"/>
            </w14:solidFill>
          </w14:textFill>
        </w:rPr>
        <w:t>（八） 磋商、评审：</w:t>
      </w:r>
      <w:bookmarkEnd w:id="0"/>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磋商、评审工作由泰州市人民政府办公室负责组织。</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具体磋商、评审事务由依法组建的磋商小组负责。如有争议最终由磋商小组认定。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1、响应文件的审查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（1）报价一览表内容与明细表内容不一致的，以报价一览表为准。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（2）正本与副本不符，以正本为准。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2、磋商、评审程序</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 xml:space="preserve">（1）响应文件初审。初审分为资格性检查和符合性检查。 </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①资格性检查。依据法律法规和采购文件的规定，对响应文件中的资格证明等进行审查；通过“信用中国”网站（</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"http://www.creditchina.gov.cn"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www.creditchina.gov.cn</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（3）磋商小组讨论、确定磋商程序和磋商内容。</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（4）磋商小组集中与单一供应商分别进行磋商。磋商轮次由磋商小组视情况决定。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 评审方法</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通过初审和磋商，并提交最后报价的供应商，可进入综合评分阶段。</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 评分标准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详见附件。</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1" w:name="_Toc534555653"/>
      <w:r>
        <w:rPr>
          <w:rFonts w:hint="eastAsia" w:ascii="黑体" w:hAnsi="黑体" w:eastAsia="黑体" w:cs="黑体"/>
          <w:color w:val="000000" w:themeColor="text1"/>
          <w:sz w:val="28"/>
          <w:szCs w:val="28"/>
          <w:lang w:val="en-US" w:eastAsia="zh-CN"/>
          <w14:textFill>
            <w14:solidFill>
              <w14:schemeClr w14:val="tx1"/>
            </w14:solidFill>
          </w14:textFill>
        </w:rPr>
        <w:t>（九） 确定成交供应商：</w:t>
      </w:r>
      <w:bookmarkEnd w:id="1"/>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1、磋商小组根据采购文件规定的评审方法和评分标准进行评审，按采购文件的要求依法确定成交供应商。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rPr>
          <w:rFonts w:hint="eastAsia" w:ascii="黑体" w:hAnsi="黑体" w:eastAsia="黑体" w:cs="黑体"/>
          <w:color w:val="000000" w:themeColor="text1"/>
          <w:sz w:val="28"/>
          <w:szCs w:val="28"/>
          <w:lang w:val="en-US" w:eastAsia="zh-CN"/>
          <w14:textFill>
            <w14:solidFill>
              <w14:schemeClr w14:val="tx1"/>
            </w14:solidFill>
          </w14:textFill>
        </w:rPr>
        <w:fldChar w:fldCharType="begin"/>
      </w:r>
      <w:r>
        <w:rPr>
          <w:rFonts w:hint="eastAsia" w:ascii="黑体" w:hAnsi="黑体" w:eastAsia="黑体" w:cs="黑体"/>
          <w:color w:val="000000" w:themeColor="text1"/>
          <w:sz w:val="28"/>
          <w:szCs w:val="28"/>
          <w:lang w:val="en-US" w:eastAsia="zh-CN"/>
          <w14:textFill>
            <w14:solidFill>
              <w14:schemeClr w14:val="tx1"/>
            </w14:solidFill>
          </w14:textFill>
        </w:rPr>
        <w:instrText xml:space="preserve"> HYPERLINK "http://download.ccgp.gov.cn/2018/zhiyihanfanben.zip" \t "_blank" </w:instrText>
      </w:r>
      <w:r>
        <w:rPr>
          <w:rFonts w:hint="eastAsia" w:ascii="黑体" w:hAnsi="黑体" w:eastAsia="黑体" w:cs="黑体"/>
          <w:color w:val="000000" w:themeColor="text1"/>
          <w:sz w:val="28"/>
          <w:szCs w:val="28"/>
          <w:lang w:val="en-US" w:eastAsia="zh-CN"/>
          <w14:textFill>
            <w14:solidFill>
              <w14:schemeClr w14:val="tx1"/>
            </w14:solidFill>
          </w14:textFill>
        </w:rPr>
        <w:fldChar w:fldCharType="separate"/>
      </w:r>
      <w:r>
        <w:rPr>
          <w:rFonts w:hint="eastAsia" w:ascii="黑体" w:hAnsi="黑体" w:eastAsia="黑体" w:cs="黑体"/>
          <w:color w:val="000000" w:themeColor="text1"/>
          <w:sz w:val="28"/>
          <w:szCs w:val="28"/>
          <w:lang w:val="en-US" w:eastAsia="zh-CN"/>
          <w14:textFill>
            <w14:solidFill>
              <w14:schemeClr w14:val="tx1"/>
            </w14:solidFill>
          </w14:textFill>
        </w:rPr>
        <w:t>政府采购供应商质疑函范本</w:t>
      </w:r>
      <w:r>
        <w:rPr>
          <w:rFonts w:hint="eastAsia" w:ascii="黑体" w:hAnsi="黑体" w:eastAsia="黑体" w:cs="黑体"/>
          <w:color w:val="000000" w:themeColor="text1"/>
          <w:sz w:val="28"/>
          <w:szCs w:val="28"/>
          <w:lang w:val="en-US" w:eastAsia="zh-CN"/>
          <w14:textFill>
            <w14:solidFill>
              <w14:schemeClr w14:val="tx1"/>
            </w14:solidFill>
          </w14:textFill>
        </w:rPr>
        <w:fldChar w:fldCharType="end"/>
      </w:r>
      <w:r>
        <w:rPr>
          <w:rFonts w:hint="eastAsia" w:ascii="黑体" w:hAnsi="黑体" w:eastAsia="黑体" w:cs="黑体"/>
          <w:color w:val="000000" w:themeColor="text1"/>
          <w:sz w:val="28"/>
          <w:szCs w:val="28"/>
          <w:lang w:val="en-US" w:eastAsia="zh-CN"/>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3、泰州市人民政府办公室向成交方发成交通知书。</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2" w:name="_Toc534555654"/>
      <w:r>
        <w:rPr>
          <w:rFonts w:hint="eastAsia" w:ascii="黑体" w:hAnsi="黑体" w:eastAsia="黑体" w:cs="黑体"/>
          <w:color w:val="000000" w:themeColor="text1"/>
          <w:sz w:val="28"/>
          <w:szCs w:val="28"/>
          <w:lang w:val="en-US" w:eastAsia="zh-CN"/>
          <w14:textFill>
            <w14:solidFill>
              <w14:schemeClr w14:val="tx1"/>
            </w14:solidFill>
          </w14:textFill>
        </w:rPr>
        <w:t>（十）采购终止：</w:t>
      </w:r>
      <w:bookmarkEnd w:id="2"/>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在竞争性磋商采购中，出现下列情况之一的，本次采购活动终止：</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1、因情况变化，不再符合规定的竞争性磋商采购方式适用情形的；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2、出现影响采购公正的违法、违规行为的；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4、在采购活动中因重大变故，采购任务取消的。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3" w:name="_Toc534555655"/>
      <w:r>
        <w:rPr>
          <w:rFonts w:hint="eastAsia" w:ascii="黑体" w:hAnsi="黑体" w:eastAsia="黑体" w:cs="黑体"/>
          <w:color w:val="000000" w:themeColor="text1"/>
          <w:sz w:val="28"/>
          <w:szCs w:val="28"/>
          <w:lang w:val="en-US" w:eastAsia="zh-CN"/>
          <w14:textFill>
            <w14:solidFill>
              <w14:schemeClr w14:val="tx1"/>
            </w14:solidFill>
          </w14:textFill>
        </w:rPr>
        <w:t>（十一）</w:t>
      </w:r>
      <w:bookmarkEnd w:id="3"/>
      <w:r>
        <w:rPr>
          <w:rFonts w:hint="eastAsia" w:ascii="黑体" w:hAnsi="黑体" w:eastAsia="黑体" w:cs="黑体"/>
          <w:color w:val="000000" w:themeColor="text1"/>
          <w:sz w:val="28"/>
          <w:szCs w:val="28"/>
          <w:lang w:val="en-US" w:eastAsia="zh-CN"/>
          <w14:textFill>
            <w14:solidFill>
              <w14:schemeClr w14:val="tx1"/>
            </w14:solidFill>
          </w14:textFill>
        </w:rPr>
        <w:t>行政处罚</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 成交供应商有下列情形之一的，必须限期改正，情节严重的，列入不良行为记录名单，在1至3年内禁止参加政府采购活动，并予以通报：</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（1）未按照采购文件确定的事项签订政府采购合同，或者与采购人另行订立背离合同实质性内容的协议的；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（2）成交后无正当理由不与采购人签订合同的；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（3）拒绝履行合同义务的。</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4" w:name="_Toc534555656"/>
      <w:r>
        <w:rPr>
          <w:rFonts w:hint="eastAsia" w:ascii="黑体" w:hAnsi="黑体" w:eastAsia="黑体" w:cs="黑体"/>
          <w:color w:val="000000" w:themeColor="text1"/>
          <w:sz w:val="28"/>
          <w:szCs w:val="28"/>
          <w:lang w:val="en-US" w:eastAsia="zh-CN"/>
          <w14:textFill>
            <w14:solidFill>
              <w14:schemeClr w14:val="tx1"/>
            </w14:solidFill>
          </w14:textFill>
        </w:rPr>
        <w:t>（十二）签订、履行合同：</w:t>
      </w:r>
      <w:bookmarkEnd w:id="4"/>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keepNext w:val="0"/>
        <w:keepLines w:val="0"/>
        <w:pageBreakBefore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黑体"/>
          <w:color w:val="000000" w:themeColor="text1"/>
          <w:sz w:val="28"/>
          <w:szCs w:val="28"/>
          <w:lang w:val="en-US" w:eastAsia="zh-CN"/>
          <w14:textFill>
            <w14:solidFill>
              <w14:schemeClr w14:val="tx1"/>
            </w14:solidFill>
          </w14:textFill>
        </w:rPr>
      </w:pPr>
      <w:bookmarkStart w:id="5" w:name="_Toc534555657"/>
      <w:r>
        <w:rPr>
          <w:rFonts w:hint="eastAsia" w:ascii="黑体" w:hAnsi="黑体" w:eastAsia="黑体" w:cs="黑体"/>
          <w:color w:val="000000" w:themeColor="text1"/>
          <w:sz w:val="28"/>
          <w:szCs w:val="28"/>
          <w:lang w:val="en-US" w:eastAsia="zh-CN"/>
          <w14:textFill>
            <w14:solidFill>
              <w14:schemeClr w14:val="tx1"/>
            </w14:solidFill>
          </w14:textFill>
        </w:rPr>
        <w:t>（十三）成交服务费：</w:t>
      </w:r>
      <w:bookmarkEnd w:id="5"/>
      <w:r>
        <w:rPr>
          <w:rFonts w:hint="eastAsia" w:ascii="黑体" w:hAnsi="黑体" w:eastAsia="黑体" w:cs="黑体"/>
          <w:color w:val="000000" w:themeColor="text1"/>
          <w:sz w:val="28"/>
          <w:szCs w:val="28"/>
          <w:lang w:val="en-US" w:eastAsia="zh-CN"/>
          <w14:textFill>
            <w14:solidFill>
              <w14:schemeClr w14:val="tx1"/>
            </w14:solidFill>
          </w14:textFill>
        </w:rPr>
        <w:t>无。</w:t>
      </w:r>
      <w:bookmarkStart w:id="6" w:name="四．合同书"/>
      <w:bookmarkEnd w:id="6"/>
      <w:bookmarkStart w:id="7" w:name="三．项目技术配置和有关说明"/>
      <w:bookmarkEnd w:id="7"/>
    </w:p>
    <w:p>
      <w:pPr>
        <w:keepNext w:val="0"/>
        <w:keepLines w:val="0"/>
        <w:pageBreakBefore w:val="0"/>
        <w:kinsoku/>
        <w:wordWrap/>
        <w:overflowPunct/>
        <w:topLinePunct w:val="0"/>
        <w:autoSpaceDE/>
        <w:autoSpaceDN/>
        <w:bidi w:val="0"/>
        <w:adjustRightInd/>
        <w:snapToGrid/>
        <w:spacing w:line="240" w:lineRule="auto"/>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三、项目技术要求与有关说明</w:t>
      </w:r>
    </w:p>
    <w:p>
      <w:pPr>
        <w:ind w:left="759" w:leftChars="228" w:hanging="280" w:hangingChars="100"/>
        <w:rPr>
          <w:rFonts w:ascii="宋体" w:hAnsi="宋体" w:eastAsia="宋体" w:cs="宋体"/>
          <w:kern w:val="0"/>
          <w:sz w:val="28"/>
          <w:szCs w:val="28"/>
        </w:rPr>
      </w:pPr>
      <w:r>
        <w:rPr>
          <w:rFonts w:hint="eastAsia" w:ascii="宋体" w:hAnsi="宋体" w:eastAsia="宋体" w:cs="宋体"/>
          <w:kern w:val="0"/>
          <w:sz w:val="28"/>
          <w:szCs w:val="28"/>
        </w:rPr>
        <w:t>一、</w:t>
      </w:r>
      <w:r>
        <w:rPr>
          <w:rFonts w:hint="eastAsia" w:ascii="宋体" w:hAnsi="宋体" w:eastAsia="宋体" w:cs="宋体"/>
          <w:kern w:val="0"/>
          <w:sz w:val="28"/>
          <w:szCs w:val="28"/>
          <w:lang w:val="en-US" w:eastAsia="zh-CN"/>
        </w:rPr>
        <w:t>项目详尽的技术</w:t>
      </w:r>
      <w:r>
        <w:rPr>
          <w:rFonts w:hint="eastAsia" w:ascii="宋体" w:hAnsi="宋体" w:eastAsia="宋体" w:cs="宋体"/>
          <w:kern w:val="0"/>
          <w:sz w:val="28"/>
          <w:szCs w:val="28"/>
        </w:rPr>
        <w:t>服务要求</w:t>
      </w:r>
    </w:p>
    <w:p>
      <w:pPr>
        <w:ind w:left="760" w:leftChars="228" w:hanging="281" w:hangingChars="100"/>
        <w:rPr>
          <w:rFonts w:ascii="Times New Roman" w:hAnsi="Times New Roman" w:cs="宋体"/>
          <w:kern w:val="0"/>
          <w:sz w:val="28"/>
          <w:szCs w:val="28"/>
        </w:rPr>
      </w:pPr>
      <w:r>
        <w:rPr>
          <w:rFonts w:hint="eastAsia" w:ascii="宋体" w:hAnsi="宋体" w:eastAsia="宋体" w:cs="宋体"/>
          <w:b/>
          <w:bCs/>
          <w:sz w:val="28"/>
          <w:szCs w:val="28"/>
        </w:rPr>
        <w:t>（一）服务内容</w:t>
      </w:r>
    </w:p>
    <w:p>
      <w:pPr>
        <w:ind w:firstLine="562" w:firstLineChars="200"/>
        <w:rPr>
          <w:rFonts w:hint="eastAsia" w:ascii="宋体" w:hAnsi="宋体" w:eastAsia="宋体" w:cs="宋体"/>
          <w:sz w:val="28"/>
          <w:szCs w:val="28"/>
          <w:lang w:eastAsia="zh-CN"/>
        </w:rPr>
      </w:pPr>
      <w:r>
        <w:rPr>
          <w:rFonts w:hint="eastAsia" w:ascii="宋体" w:hAnsi="宋体" w:eastAsia="宋体" w:cs="宋体"/>
          <w:b/>
          <w:bCs/>
          <w:sz w:val="28"/>
          <w:szCs w:val="28"/>
        </w:rPr>
        <w:t>1、泰州市人民政府办</w:t>
      </w:r>
      <w:r>
        <w:rPr>
          <w:rFonts w:hint="eastAsia" w:ascii="宋体" w:hAnsi="宋体" w:eastAsia="宋体" w:cs="宋体"/>
          <w:b/>
          <w:bCs/>
          <w:sz w:val="28"/>
          <w:szCs w:val="28"/>
          <w:lang w:eastAsia="zh-CN"/>
        </w:rPr>
        <w:t>2022年安全等保测评服务</w:t>
      </w:r>
    </w:p>
    <w:p>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本次安全等保测评服务范围主要包括对</w:t>
      </w:r>
      <w:r>
        <w:rPr>
          <w:rFonts w:hint="eastAsia" w:ascii="宋体" w:hAnsi="宋体" w:eastAsia="宋体" w:cs="宋体"/>
          <w:sz w:val="28"/>
          <w:szCs w:val="28"/>
        </w:rPr>
        <w:t>泰州市人民政府办公室信息系统[</w:t>
      </w:r>
      <w:r>
        <w:rPr>
          <w:rFonts w:hint="eastAsia" w:ascii="宋体" w:hAnsi="宋体" w:eastAsia="宋体" w:cs="宋体"/>
          <w:sz w:val="28"/>
          <w:szCs w:val="28"/>
          <w:lang w:val="en-US" w:eastAsia="zh-CN"/>
        </w:rPr>
        <w:t>五</w:t>
      </w:r>
      <w:r>
        <w:rPr>
          <w:rFonts w:hint="eastAsia" w:ascii="宋体" w:hAnsi="宋体" w:eastAsia="宋体" w:cs="宋体"/>
          <w:sz w:val="28"/>
          <w:szCs w:val="28"/>
        </w:rPr>
        <w:t>个三级系统：泰州市市级机关协同办公系统、泰州市政务信息资源共享开放平台系统、网站群平台系统、智慧泰州移动门户（一期）系统、</w:t>
      </w:r>
      <w:r>
        <w:rPr>
          <w:rFonts w:hint="eastAsia" w:ascii="宋体" w:hAnsi="宋体" w:eastAsia="宋体" w:cs="宋体"/>
          <w:sz w:val="28"/>
          <w:szCs w:val="28"/>
          <w:lang w:val="en-US" w:eastAsia="zh-CN"/>
        </w:rPr>
        <w:t>泰州市政务云管平台</w:t>
      </w:r>
      <w:r>
        <w:rPr>
          <w:rFonts w:hint="eastAsia" w:ascii="宋体" w:hAnsi="宋体" w:eastAsia="宋体" w:cs="宋体"/>
          <w:sz w:val="28"/>
          <w:szCs w:val="28"/>
        </w:rPr>
        <w:t>系统</w:t>
      </w:r>
      <w:r>
        <w:rPr>
          <w:rFonts w:hint="eastAsia" w:ascii="宋体" w:hAnsi="宋体" w:eastAsia="宋体" w:cs="宋体"/>
          <w:sz w:val="28"/>
          <w:szCs w:val="28"/>
          <w:lang w:val="en-US" w:eastAsia="zh-CN"/>
        </w:rPr>
        <w:t>开展</w:t>
      </w:r>
      <w:r>
        <w:rPr>
          <w:rFonts w:hint="eastAsia" w:ascii="宋体" w:hAnsi="宋体" w:eastAsia="宋体" w:cs="宋体"/>
          <w:sz w:val="28"/>
          <w:szCs w:val="28"/>
        </w:rPr>
        <w:t>等保测评服务，通过测评服务后提交测评报告，找出系统存在的安全问题与整改建议，协助泰州市人民政府办开展整改工作并达到等级保护2.0的安全保护要求</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协助泰州市人民政府办做好下列网络安全技术服务支撑工作：对新系统定级备案工作；对政务外网系统进行季度性网络安全性能测试，验证系统是否满足网络安全防护需求并提供整改建议；协助磋商方开展网络安全应急演练与网络安全知识培训工作；在中国共产党二十大期间的做好网络安全保障与应急处置工作；</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（二）服务要求</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1、</w:t>
      </w:r>
      <w:r>
        <w:rPr>
          <w:rFonts w:hint="eastAsia" w:ascii="宋体" w:hAnsi="宋体" w:eastAsia="宋体" w:cs="宋体"/>
          <w:b/>
          <w:bCs/>
          <w:sz w:val="28"/>
          <w:szCs w:val="28"/>
          <w:lang w:eastAsia="zh-CN"/>
        </w:rPr>
        <w:t>2022年安全等保测评服务</w:t>
      </w:r>
      <w:r>
        <w:rPr>
          <w:rFonts w:hint="eastAsia" w:ascii="宋体" w:hAnsi="宋体" w:eastAsia="宋体" w:cs="宋体"/>
          <w:b/>
          <w:bCs/>
          <w:sz w:val="28"/>
          <w:szCs w:val="28"/>
        </w:rPr>
        <w:t>要求</w:t>
      </w:r>
    </w:p>
    <w:p>
      <w:pPr>
        <w:ind w:firstLine="560" w:firstLineChars="200"/>
        <w:rPr>
          <w:rFonts w:ascii="宋体" w:hAnsi="宋体" w:eastAsia="宋体" w:cs="宋体"/>
          <w:sz w:val="28"/>
          <w:szCs w:val="28"/>
        </w:rPr>
      </w:pPr>
      <w:r>
        <w:rPr>
          <w:rFonts w:hint="eastAsia" w:ascii="宋体" w:hAnsi="宋体" w:eastAsia="宋体" w:cs="宋体"/>
          <w:sz w:val="28"/>
          <w:szCs w:val="28"/>
        </w:rPr>
        <w:t>（1）对泰州市人民政府办指</w:t>
      </w:r>
      <w:r>
        <w:rPr>
          <w:rFonts w:hint="eastAsia" w:ascii="宋体" w:hAnsi="宋体" w:eastAsia="宋体" w:cs="宋体"/>
          <w:color w:val="000000" w:themeColor="text1"/>
          <w:sz w:val="28"/>
          <w:szCs w:val="28"/>
          <w14:textFill>
            <w14:solidFill>
              <w14:schemeClr w14:val="tx1"/>
            </w14:solidFill>
          </w14:textFill>
        </w:rPr>
        <w:t>定的</w:t>
      </w:r>
      <w:r>
        <w:rPr>
          <w:rFonts w:hint="eastAsia" w:ascii="宋体" w:hAnsi="宋体" w:eastAsia="宋体" w:cs="宋体"/>
          <w:color w:val="000000" w:themeColor="text1"/>
          <w:sz w:val="28"/>
          <w:szCs w:val="28"/>
          <w:lang w:val="en-US" w:eastAsia="zh-CN"/>
          <w14:textFill>
            <w14:solidFill>
              <w14:schemeClr w14:val="tx1"/>
            </w14:solidFill>
          </w14:textFill>
        </w:rPr>
        <w:t>五</w:t>
      </w:r>
      <w:r>
        <w:rPr>
          <w:rFonts w:hint="eastAsia" w:ascii="宋体" w:hAnsi="宋体" w:eastAsia="宋体" w:cs="宋体"/>
          <w:color w:val="000000" w:themeColor="text1"/>
          <w:sz w:val="28"/>
          <w:szCs w:val="28"/>
          <w14:textFill>
            <w14:solidFill>
              <w14:schemeClr w14:val="tx1"/>
            </w14:solidFill>
          </w14:textFill>
        </w:rPr>
        <w:t>个信息系</w:t>
      </w:r>
      <w:r>
        <w:rPr>
          <w:rFonts w:hint="eastAsia" w:ascii="宋体" w:hAnsi="宋体" w:eastAsia="宋体" w:cs="宋体"/>
          <w:sz w:val="28"/>
          <w:szCs w:val="28"/>
        </w:rPr>
        <w:t>统开展等保测评工作。</w:t>
      </w:r>
    </w:p>
    <w:p>
      <w:pPr>
        <w:ind w:firstLine="560" w:firstLineChars="200"/>
        <w:rPr>
          <w:rFonts w:ascii="宋体" w:hAnsi="宋体" w:eastAsia="宋体" w:cs="宋体"/>
          <w:sz w:val="28"/>
          <w:szCs w:val="28"/>
        </w:rPr>
      </w:pPr>
      <w:r>
        <w:rPr>
          <w:rFonts w:hint="eastAsia" w:ascii="宋体" w:hAnsi="宋体" w:eastAsia="宋体" w:cs="宋体"/>
          <w:sz w:val="28"/>
          <w:szCs w:val="28"/>
        </w:rPr>
        <w:t>（2）根据需要协助泰州市人民政府做好相关信息系统定级备案工作。</w:t>
      </w:r>
    </w:p>
    <w:p>
      <w:pPr>
        <w:ind w:firstLine="560" w:firstLineChars="200"/>
        <w:rPr>
          <w:rFonts w:ascii="宋体" w:hAnsi="宋体" w:eastAsia="宋体" w:cs="宋体"/>
          <w:sz w:val="28"/>
          <w:szCs w:val="28"/>
        </w:rPr>
      </w:pPr>
      <w:r>
        <w:rPr>
          <w:rFonts w:hint="eastAsia" w:ascii="宋体" w:hAnsi="宋体" w:eastAsia="宋体" w:cs="宋体"/>
          <w:sz w:val="28"/>
          <w:szCs w:val="28"/>
        </w:rPr>
        <w:t>（3）合同签订后测评工程师驻场开始测评的两至三个月内完成信息系统的初评报告。报告指出系统存在的问题与对应整改建议。</w:t>
      </w:r>
    </w:p>
    <w:p>
      <w:pPr>
        <w:ind w:firstLine="560" w:firstLineChars="200"/>
        <w:rPr>
          <w:rFonts w:hint="eastAsia" w:ascii="宋体" w:hAnsi="宋体" w:eastAsia="宋体" w:cs="宋体"/>
          <w:sz w:val="28"/>
          <w:szCs w:val="28"/>
        </w:rPr>
      </w:pPr>
      <w:r>
        <w:rPr>
          <w:rFonts w:hint="eastAsia" w:ascii="宋体" w:hAnsi="宋体" w:eastAsia="宋体" w:cs="宋体"/>
          <w:sz w:val="28"/>
          <w:szCs w:val="28"/>
        </w:rPr>
        <w:t>（4）在泰州市人民政府办完成整改后及时开展复评工作。并最终出具符合等保2.0要求的测评报告并协助报备泰州市公安局网安部门。</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（5）对磋商方所属的政务外网系统进行季度性网络安全性能测试，验证系统是否满足网络安全防护需求并提供整改建议；</w:t>
      </w:r>
    </w:p>
    <w:p>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（6）协助采购人开展网络安全应急演练与网络安全知识培训工作；</w:t>
      </w:r>
    </w:p>
    <w:p>
      <w:pPr>
        <w:ind w:firstLine="560" w:firstLineChars="200"/>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（7）在中国共产党二十大期间的做好磋商方互联网系统网络安全保障与应急处置工作（为期7天，需要安排工程师远程线上值守监查）；</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2、</w:t>
      </w:r>
      <w:r>
        <w:rPr>
          <w:rFonts w:hint="eastAsia" w:ascii="宋体" w:hAnsi="宋体" w:eastAsia="宋体" w:cs="宋体"/>
          <w:b/>
          <w:bCs/>
          <w:sz w:val="28"/>
          <w:szCs w:val="28"/>
          <w:lang w:eastAsia="zh-CN"/>
        </w:rPr>
        <w:t>2022年安全等保测评服务</w:t>
      </w:r>
      <w:r>
        <w:rPr>
          <w:rFonts w:hint="eastAsia" w:ascii="宋体" w:hAnsi="宋体" w:eastAsia="宋体" w:cs="宋体"/>
          <w:b/>
          <w:bCs/>
          <w:sz w:val="28"/>
          <w:szCs w:val="28"/>
        </w:rPr>
        <w:t>管理要求</w:t>
      </w:r>
    </w:p>
    <w:p>
      <w:pPr>
        <w:ind w:firstLine="562" w:firstLineChars="200"/>
        <w:rPr>
          <w:rFonts w:ascii="宋体" w:hAnsi="宋体" w:eastAsia="宋体" w:cs="宋体"/>
          <w:sz w:val="28"/>
          <w:szCs w:val="28"/>
        </w:rPr>
      </w:pPr>
      <w:r>
        <w:rPr>
          <w:rFonts w:hint="eastAsia" w:ascii="宋体" w:hAnsi="宋体" w:eastAsia="宋体" w:cs="宋体"/>
          <w:b/>
          <w:bCs/>
          <w:sz w:val="28"/>
          <w:szCs w:val="28"/>
        </w:rPr>
        <w:t>（1）服务人员要求</w:t>
      </w:r>
    </w:p>
    <w:p>
      <w:pPr>
        <w:ind w:firstLine="560" w:firstLineChars="200"/>
        <w:rPr>
          <w:rFonts w:ascii="宋体" w:hAnsi="宋体" w:eastAsia="宋体" w:cs="宋体"/>
          <w:sz w:val="28"/>
          <w:szCs w:val="28"/>
        </w:rPr>
      </w:pPr>
      <w:r>
        <w:rPr>
          <w:rFonts w:hint="eastAsia" w:ascii="宋体" w:hAnsi="宋体" w:eastAsia="宋体" w:cs="宋体"/>
          <w:sz w:val="28"/>
          <w:szCs w:val="28"/>
        </w:rPr>
        <w:t>服务单位一般情况不得更换项目组人员，如需更换提前 5 个工作日书面报告采购人，征得同意情况下才能更换；如果项目组人员存在工作态度、责任心、技术能力、协调能力等方面的问题时，采购人可以要求咨询单位更换项目组人员，并且咨询单位在收到采购人书面通知之日起 5 个工作日内更换。</w:t>
      </w:r>
    </w:p>
    <w:p>
      <w:pPr>
        <w:ind w:firstLine="560" w:firstLineChars="200"/>
        <w:rPr>
          <w:rFonts w:ascii="宋体" w:hAnsi="宋体" w:eastAsia="宋体" w:cs="宋体"/>
          <w:sz w:val="28"/>
          <w:szCs w:val="28"/>
        </w:rPr>
      </w:pPr>
      <w:r>
        <w:rPr>
          <w:rFonts w:hint="eastAsia" w:ascii="宋体" w:hAnsi="宋体" w:eastAsia="宋体" w:cs="宋体"/>
          <w:sz w:val="28"/>
          <w:szCs w:val="28"/>
        </w:rPr>
        <w:t>服务单位为项目组成员在工作现场引起的各种工伤、安全事件和事故负责。</w:t>
      </w:r>
    </w:p>
    <w:p>
      <w:pPr>
        <w:ind w:firstLine="560" w:firstLineChars="200"/>
        <w:rPr>
          <w:rFonts w:ascii="宋体" w:hAnsi="宋体" w:eastAsia="宋体" w:cs="宋体"/>
          <w:sz w:val="28"/>
          <w:szCs w:val="28"/>
        </w:rPr>
      </w:pPr>
      <w:r>
        <w:rPr>
          <w:rFonts w:hint="eastAsia" w:ascii="宋体" w:hAnsi="宋体" w:eastAsia="宋体" w:cs="宋体"/>
          <w:sz w:val="28"/>
          <w:szCs w:val="28"/>
        </w:rPr>
        <w:t>服务团队应结构完整，搭配合理。</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（2）组织实施要求</w:t>
      </w:r>
    </w:p>
    <w:p>
      <w:pPr>
        <w:ind w:firstLine="560" w:firstLineChars="200"/>
        <w:rPr>
          <w:rFonts w:ascii="宋体" w:hAnsi="宋体" w:eastAsia="宋体" w:cs="宋体"/>
          <w:sz w:val="28"/>
          <w:szCs w:val="28"/>
        </w:rPr>
      </w:pPr>
      <w:r>
        <w:rPr>
          <w:rFonts w:hint="eastAsia" w:ascii="宋体" w:hAnsi="宋体" w:eastAsia="宋体" w:cs="宋体"/>
          <w:sz w:val="28"/>
          <w:szCs w:val="28"/>
        </w:rPr>
        <w:t>投标人需严格按照服务方式和服务人员要求，梳理分析项目相关责任主体，结合本项目实际，提出项目组织实施措施，制定组织实施计划，包括但不限于：</w:t>
      </w:r>
    </w:p>
    <w:p>
      <w:pPr>
        <w:ind w:firstLine="560" w:firstLineChars="200"/>
        <w:rPr>
          <w:rFonts w:ascii="宋体" w:hAnsi="宋体" w:eastAsia="宋体" w:cs="宋体"/>
          <w:sz w:val="28"/>
          <w:szCs w:val="28"/>
        </w:rPr>
      </w:pPr>
      <w:r>
        <w:rPr>
          <w:rFonts w:hint="eastAsia" w:ascii="宋体" w:hAnsi="宋体" w:eastAsia="宋体" w:cs="宋体"/>
          <w:sz w:val="28"/>
          <w:szCs w:val="28"/>
        </w:rPr>
        <w:t>①搭建项目组织架构，组建服务团队。</w:t>
      </w:r>
    </w:p>
    <w:p>
      <w:pPr>
        <w:ind w:firstLine="560" w:firstLineChars="200"/>
        <w:rPr>
          <w:rFonts w:ascii="宋体" w:hAnsi="宋体" w:eastAsia="宋体" w:cs="宋体"/>
          <w:sz w:val="28"/>
          <w:szCs w:val="28"/>
        </w:rPr>
      </w:pPr>
      <w:r>
        <w:rPr>
          <w:rFonts w:hint="eastAsia" w:ascii="宋体" w:hAnsi="宋体" w:eastAsia="宋体" w:cs="宋体"/>
          <w:sz w:val="28"/>
          <w:szCs w:val="28"/>
        </w:rPr>
        <w:t>②根据采购需求，确定本项目的实施阶段目标。</w:t>
      </w:r>
    </w:p>
    <w:p>
      <w:pPr>
        <w:ind w:firstLine="560" w:firstLineChars="200"/>
        <w:rPr>
          <w:rFonts w:ascii="宋体" w:hAnsi="宋体" w:eastAsia="宋体" w:cs="宋体"/>
          <w:sz w:val="28"/>
          <w:szCs w:val="28"/>
        </w:rPr>
      </w:pPr>
      <w:r>
        <w:rPr>
          <w:rFonts w:hint="eastAsia" w:ascii="宋体" w:hAnsi="宋体" w:eastAsia="宋体" w:cs="宋体"/>
          <w:sz w:val="28"/>
          <w:szCs w:val="28"/>
        </w:rPr>
        <w:t>③根据实施过程阶段，进行目标分解，确定具体实施计划。</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（3）质量保证要求</w:t>
      </w:r>
    </w:p>
    <w:p>
      <w:pPr>
        <w:ind w:firstLine="560" w:firstLineChars="200"/>
        <w:rPr>
          <w:rFonts w:ascii="宋体" w:hAnsi="宋体" w:eastAsia="宋体" w:cs="宋体"/>
          <w:sz w:val="28"/>
          <w:szCs w:val="28"/>
        </w:rPr>
      </w:pPr>
      <w:r>
        <w:rPr>
          <w:rFonts w:hint="eastAsia" w:ascii="宋体" w:hAnsi="宋体" w:eastAsia="宋体" w:cs="宋体"/>
          <w:sz w:val="28"/>
          <w:szCs w:val="28"/>
        </w:rPr>
        <w:t>为了保证本测评服务项目能按时高质地顺利完成，规避项目风险或将风险降至最低程度，应采取如下质量保证措施：</w:t>
      </w:r>
    </w:p>
    <w:p>
      <w:pPr>
        <w:ind w:firstLine="560" w:firstLineChars="200"/>
        <w:rPr>
          <w:rFonts w:ascii="宋体" w:hAnsi="宋体" w:eastAsia="宋体" w:cs="宋体"/>
          <w:sz w:val="28"/>
          <w:szCs w:val="28"/>
        </w:rPr>
      </w:pPr>
      <w:r>
        <w:rPr>
          <w:rFonts w:hint="eastAsia" w:ascii="宋体" w:hAnsi="宋体" w:eastAsia="宋体" w:cs="宋体"/>
          <w:sz w:val="28"/>
          <w:szCs w:val="28"/>
        </w:rPr>
        <w:t>①建立强有力的项目领导小组和咨询实施小组，是确保本项目服务内容质量和成功实施的关键措施。</w:t>
      </w:r>
    </w:p>
    <w:p>
      <w:pPr>
        <w:ind w:firstLine="560" w:firstLineChars="200"/>
        <w:rPr>
          <w:rFonts w:ascii="宋体" w:hAnsi="宋体" w:eastAsia="宋体" w:cs="宋体"/>
          <w:sz w:val="28"/>
          <w:szCs w:val="28"/>
        </w:rPr>
      </w:pPr>
      <w:r>
        <w:rPr>
          <w:rFonts w:hint="eastAsia" w:ascii="宋体" w:hAnsi="宋体" w:eastAsia="宋体" w:cs="宋体"/>
          <w:sz w:val="28"/>
          <w:szCs w:val="28"/>
        </w:rPr>
        <w:t>②认真做好项目前期工作和实施计划。</w:t>
      </w:r>
    </w:p>
    <w:p>
      <w:pPr>
        <w:ind w:firstLine="560" w:firstLineChars="200"/>
        <w:rPr>
          <w:rFonts w:ascii="宋体" w:hAnsi="宋体" w:eastAsia="宋体" w:cs="宋体"/>
          <w:sz w:val="28"/>
          <w:szCs w:val="28"/>
        </w:rPr>
      </w:pPr>
      <w:r>
        <w:rPr>
          <w:rFonts w:hint="eastAsia" w:ascii="宋体" w:hAnsi="宋体" w:eastAsia="宋体" w:cs="宋体"/>
          <w:sz w:val="28"/>
          <w:szCs w:val="28"/>
        </w:rPr>
        <w:t>③强化成果评审、论证工作。中标人应对项目各实施阶段产生的成果严格进行内部评审，严把各阶段质量关，从而确保测评服务过程中交付成果的质量。</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4、验收标准</w:t>
      </w:r>
    </w:p>
    <w:p>
      <w:pPr>
        <w:ind w:firstLine="560" w:firstLineChars="200"/>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《XXXX系统测评报告》</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备案证明》</w:t>
      </w:r>
      <w:r>
        <w:rPr>
          <w:rFonts w:hint="eastAsia" w:ascii="宋体" w:hAnsi="宋体" w:eastAsia="宋体" w:cs="宋体"/>
          <w:color w:val="000000" w:themeColor="text1"/>
          <w:sz w:val="28"/>
          <w:szCs w:val="28"/>
          <w14:textFill>
            <w14:solidFill>
              <w14:schemeClr w14:val="tx1"/>
            </w14:solidFill>
          </w14:textFill>
        </w:rPr>
        <w:t>等文件交付泰州市人民政府办后的5个工作日，</w:t>
      </w:r>
      <w:r>
        <w:rPr>
          <w:rFonts w:hint="eastAsia" w:ascii="宋体" w:hAnsi="宋体" w:eastAsia="宋体" w:cs="宋体"/>
          <w:color w:val="000000" w:themeColor="text1"/>
          <w:sz w:val="28"/>
          <w:szCs w:val="28"/>
          <w:lang w:val="en-US" w:eastAsia="zh-CN"/>
          <w14:textFill>
            <w14:solidFill>
              <w14:schemeClr w14:val="tx1"/>
            </w14:solidFill>
          </w14:textFill>
        </w:rPr>
        <w:t>磋商方</w:t>
      </w:r>
      <w:r>
        <w:rPr>
          <w:rFonts w:hint="eastAsia" w:ascii="宋体" w:hAnsi="宋体" w:eastAsia="宋体" w:cs="宋体"/>
          <w:color w:val="000000" w:themeColor="text1"/>
          <w:sz w:val="28"/>
          <w:szCs w:val="28"/>
          <w14:textFill>
            <w14:solidFill>
              <w14:schemeClr w14:val="tx1"/>
            </w14:solidFill>
          </w14:textFill>
        </w:rPr>
        <w:t>未提出书面异议，则视为测评服务</w:t>
      </w:r>
      <w:r>
        <w:rPr>
          <w:rFonts w:hint="eastAsia" w:ascii="宋体" w:hAnsi="宋体" w:eastAsia="宋体" w:cs="宋体"/>
          <w:color w:val="000000" w:themeColor="text1"/>
          <w:sz w:val="28"/>
          <w:szCs w:val="28"/>
          <w:lang w:val="en-US" w:eastAsia="zh-CN"/>
          <w14:textFill>
            <w14:solidFill>
              <w14:schemeClr w14:val="tx1"/>
            </w14:solidFill>
          </w14:textFill>
        </w:rPr>
        <w:t>或季度性网络安全性能检测</w:t>
      </w:r>
      <w:r>
        <w:rPr>
          <w:rFonts w:hint="eastAsia" w:ascii="宋体" w:hAnsi="宋体" w:eastAsia="宋体" w:cs="宋体"/>
          <w:color w:val="000000" w:themeColor="text1"/>
          <w:sz w:val="28"/>
          <w:szCs w:val="28"/>
          <w14:textFill>
            <w14:solidFill>
              <w14:schemeClr w14:val="tx1"/>
            </w14:solidFill>
          </w14:textFill>
        </w:rPr>
        <w:t>验收通过</w:t>
      </w:r>
      <w:r>
        <w:rPr>
          <w:rFonts w:hint="eastAsia" w:ascii="宋体" w:hAnsi="宋体" w:eastAsia="宋体" w:cs="宋体"/>
          <w:color w:val="000000" w:themeColor="text1"/>
          <w:sz w:val="28"/>
          <w:szCs w:val="28"/>
          <w:lang w:eastAsia="zh-CN"/>
          <w14:textFill>
            <w14:solidFill>
              <w14:schemeClr w14:val="tx1"/>
            </w14:solidFill>
          </w14:textFill>
        </w:rPr>
        <w:t>；</w:t>
      </w:r>
    </w:p>
    <w:p>
      <w:pPr>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投标方网络安全知识培训/应急演练PPT材料与培训签到表提交后5个工作日，磋商方</w:t>
      </w:r>
      <w:r>
        <w:rPr>
          <w:rFonts w:hint="eastAsia" w:ascii="宋体" w:hAnsi="宋体" w:eastAsia="宋体" w:cs="宋体"/>
          <w:color w:val="000000" w:themeColor="text1"/>
          <w:sz w:val="28"/>
          <w:szCs w:val="28"/>
          <w14:textFill>
            <w14:solidFill>
              <w14:schemeClr w14:val="tx1"/>
            </w14:solidFill>
          </w14:textFill>
        </w:rPr>
        <w:t>未提出书面异议，则视为</w:t>
      </w:r>
      <w:r>
        <w:rPr>
          <w:rFonts w:hint="eastAsia" w:ascii="宋体" w:hAnsi="宋体" w:eastAsia="宋体" w:cs="宋体"/>
          <w:color w:val="000000" w:themeColor="text1"/>
          <w:sz w:val="28"/>
          <w:szCs w:val="28"/>
          <w:lang w:val="en-US" w:eastAsia="zh-CN"/>
          <w14:textFill>
            <w14:solidFill>
              <w14:schemeClr w14:val="tx1"/>
            </w14:solidFill>
          </w14:textFill>
        </w:rPr>
        <w:t>相关网络安全培训与应急演练验收</w:t>
      </w:r>
      <w:r>
        <w:rPr>
          <w:rFonts w:hint="eastAsia" w:ascii="宋体" w:hAnsi="宋体" w:eastAsia="宋体" w:cs="宋体"/>
          <w:color w:val="000000" w:themeColor="text1"/>
          <w:sz w:val="28"/>
          <w:szCs w:val="28"/>
          <w14:textFill>
            <w14:solidFill>
              <w14:schemeClr w14:val="tx1"/>
            </w14:solidFill>
          </w14:textFill>
        </w:rPr>
        <w:t>通过</w:t>
      </w:r>
      <w:r>
        <w:rPr>
          <w:rFonts w:hint="eastAsia" w:ascii="宋体" w:hAnsi="宋体" w:eastAsia="宋体" w:cs="宋体"/>
          <w:color w:val="000000" w:themeColor="text1"/>
          <w:sz w:val="28"/>
          <w:szCs w:val="28"/>
          <w:lang w:eastAsia="zh-CN"/>
          <w14:textFill>
            <w14:solidFill>
              <w14:schemeClr w14:val="tx1"/>
            </w14:solidFill>
          </w14:textFill>
        </w:rPr>
        <w:t>；</w:t>
      </w:r>
    </w:p>
    <w:p>
      <w:pPr>
        <w:ind w:firstLine="560" w:firstLineChars="200"/>
        <w:rPr>
          <w:rFonts w:hint="default"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投标方工程师值守人员计划表与排班或应急处置报告提交后的5个工作日，磋商方未提出书面异议，则视为此项二十大重保服务通过验收。</w:t>
      </w:r>
    </w:p>
    <w:p>
      <w:pPr>
        <w:ind w:firstLine="560" w:firstLineChars="200"/>
        <w:rPr>
          <w:rFonts w:ascii="宋体" w:hAnsi="宋体" w:eastAsia="宋体" w:cs="宋体"/>
          <w:sz w:val="28"/>
          <w:szCs w:val="28"/>
        </w:rPr>
      </w:pPr>
      <w:r>
        <w:rPr>
          <w:rFonts w:hint="eastAsia" w:ascii="宋体" w:hAnsi="宋体" w:eastAsia="宋体" w:cs="宋体"/>
          <w:sz w:val="28"/>
          <w:szCs w:val="28"/>
        </w:rPr>
        <w:t>5、其他要求</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（1）资产权属</w:t>
      </w:r>
    </w:p>
    <w:p>
      <w:pPr>
        <w:ind w:firstLine="560" w:firstLineChars="200"/>
        <w:rPr>
          <w:rFonts w:ascii="宋体" w:hAnsi="宋体" w:eastAsia="宋体" w:cs="宋体"/>
          <w:sz w:val="28"/>
          <w:szCs w:val="28"/>
        </w:rPr>
      </w:pPr>
      <w:r>
        <w:rPr>
          <w:rFonts w:hint="eastAsia" w:ascii="宋体" w:hAnsi="宋体" w:eastAsia="宋体" w:cs="宋体"/>
          <w:sz w:val="28"/>
          <w:szCs w:val="28"/>
        </w:rPr>
        <w:t>中标人为实施项目而提供的所有资料及工作成果的所有权归采购人所有，未经采购人许可，中标人不得将相关采购人资料提供给第三方。</w:t>
      </w:r>
    </w:p>
    <w:p>
      <w:pPr>
        <w:ind w:firstLine="562" w:firstLineChars="200"/>
        <w:rPr>
          <w:rFonts w:ascii="宋体" w:hAnsi="宋体" w:eastAsia="宋体" w:cs="宋体"/>
          <w:b/>
          <w:bCs/>
          <w:sz w:val="28"/>
          <w:szCs w:val="28"/>
        </w:rPr>
      </w:pPr>
      <w:r>
        <w:rPr>
          <w:rFonts w:hint="eastAsia" w:ascii="宋体" w:hAnsi="宋体" w:eastAsia="宋体" w:cs="宋体"/>
          <w:b/>
          <w:bCs/>
          <w:sz w:val="28"/>
          <w:szCs w:val="28"/>
        </w:rPr>
        <w:t>（2）保密要求</w:t>
      </w:r>
    </w:p>
    <w:p>
      <w:pPr>
        <w:ind w:firstLine="560" w:firstLineChars="200"/>
        <w:rPr>
          <w:rFonts w:ascii="宋体" w:hAnsi="宋体" w:eastAsia="宋体" w:cs="宋体"/>
          <w:sz w:val="28"/>
          <w:szCs w:val="28"/>
        </w:rPr>
      </w:pPr>
      <w:r>
        <w:rPr>
          <w:rFonts w:hint="eastAsia" w:ascii="宋体" w:hAnsi="宋体" w:eastAsia="宋体" w:cs="宋体"/>
          <w:sz w:val="28"/>
          <w:szCs w:val="28"/>
        </w:rPr>
        <w:t>①投标人对其因身份、职务、职业或技术关系而知悉的采购人商业秘密和党政机关保密信息应严格保守，保证不被披露或使用，包括意外或过失。</w:t>
      </w:r>
    </w:p>
    <w:p>
      <w:pPr>
        <w:ind w:firstLine="560" w:firstLineChars="200"/>
        <w:rPr>
          <w:rFonts w:ascii="宋体" w:hAnsi="宋体" w:eastAsia="宋体" w:cs="宋体"/>
          <w:sz w:val="28"/>
          <w:szCs w:val="28"/>
        </w:rPr>
      </w:pPr>
      <w:r>
        <w:rPr>
          <w:rFonts w:hint="eastAsia" w:ascii="宋体" w:hAnsi="宋体" w:eastAsia="宋体" w:cs="宋体"/>
          <w:sz w:val="28"/>
          <w:szCs w:val="28"/>
        </w:rPr>
        <w:t>②投标人不得以竞争为目的、或出于私利、或为第三人谋利而擅自保存、披露、使用采购人商业秘密和党政机关保密信息；不得直接或间接地向无关人员泄露采购人的商业秘密和党政机关保密信息；不得向不承担保密义务的任何第三人披露采购人的商业秘密和党政机关保密信息。投标人在从事政府项目时，不得擅自记录、复制、拍摄、摘抄、收藏在工作中涉及的保密信息，严禁将涉及政府项目的任何资料、数据透露或以其他方式提供给项目以外的其他方或投标人内部与该项目无关的任何人员。</w:t>
      </w:r>
    </w:p>
    <w:p>
      <w:pPr>
        <w:ind w:firstLine="560" w:firstLineChars="200"/>
        <w:rPr>
          <w:rFonts w:ascii="宋体" w:hAnsi="宋体" w:eastAsia="宋体" w:cs="宋体"/>
          <w:sz w:val="28"/>
          <w:szCs w:val="28"/>
        </w:rPr>
      </w:pPr>
      <w:r>
        <w:rPr>
          <w:rFonts w:hint="eastAsia" w:ascii="宋体" w:hAnsi="宋体" w:eastAsia="宋体" w:cs="宋体"/>
          <w:sz w:val="28"/>
          <w:szCs w:val="28"/>
        </w:rPr>
        <w:t>③投标人对于工作期间知悉采购人的商业秘密和党政机关保密信息（包括业务信息在内）或工作过程中接触到的政府机关文件（包括内部发文、各类通知及会议记录等）的内容，同样承担保密责任，严禁将政府机关内部会议、谈话内容泄露给无关人员；不得翻阅与工作无关的文件和资料。</w:t>
      </w:r>
    </w:p>
    <w:p>
      <w:pPr>
        <w:ind w:firstLine="560" w:firstLineChars="200"/>
        <w:rPr>
          <w:rFonts w:ascii="宋体" w:hAnsi="宋体" w:eastAsia="宋体" w:cs="宋体"/>
          <w:sz w:val="28"/>
          <w:szCs w:val="28"/>
        </w:rPr>
      </w:pPr>
      <w:r>
        <w:rPr>
          <w:rFonts w:hint="eastAsia" w:ascii="宋体" w:hAnsi="宋体" w:eastAsia="宋体" w:cs="宋体"/>
          <w:sz w:val="28"/>
          <w:szCs w:val="28"/>
        </w:rPr>
        <w:t>④严禁泄露在工作中接触到的政府机关科技研究、发明、装备器材及其技术资料和政府工作信息。</w:t>
      </w:r>
    </w:p>
    <w:p>
      <w:pPr>
        <w:rPr>
          <w:rFonts w:ascii="宋体" w:hAnsi="宋体" w:eastAsia="宋体" w:cs="宋体"/>
          <w:sz w:val="28"/>
          <w:szCs w:val="28"/>
        </w:rPr>
      </w:pPr>
    </w:p>
    <w:p>
      <w:pPr>
        <w:rPr>
          <w:rFonts w:ascii="宋体" w:hAnsi="宋体" w:eastAsia="宋体" w:cs="宋体"/>
          <w:kern w:val="0"/>
          <w:sz w:val="28"/>
          <w:szCs w:val="28"/>
        </w:rPr>
      </w:pPr>
      <w:r>
        <w:rPr>
          <w:rFonts w:hint="eastAsia" w:ascii="宋体" w:hAnsi="宋体" w:eastAsia="宋体" w:cs="宋体"/>
          <w:kern w:val="0"/>
          <w:sz w:val="28"/>
          <w:szCs w:val="28"/>
        </w:rPr>
        <w:t>二、采购项目完工期或交货期：合同签订后4个月，如采购方因整改需要延期的由双方另行商定。</w:t>
      </w:r>
      <w:r>
        <w:rPr>
          <w:rFonts w:hint="eastAsia" w:ascii="宋体" w:hAnsi="宋体" w:eastAsia="宋体" w:cs="宋体"/>
          <w:kern w:val="0"/>
          <w:sz w:val="28"/>
          <w:szCs w:val="28"/>
        </w:rPr>
        <w:br w:type="textWrapping"/>
      </w:r>
      <w:r>
        <w:rPr>
          <w:rFonts w:hint="eastAsia" w:ascii="宋体" w:hAnsi="宋体" w:eastAsia="宋体" w:cs="宋体"/>
          <w:kern w:val="0"/>
          <w:sz w:val="28"/>
          <w:szCs w:val="28"/>
        </w:rPr>
        <w:t>三、采购项目交付或执行的地点：泰州市</w:t>
      </w:r>
    </w:p>
    <w:p>
      <w:pPr>
        <w:widowControl/>
        <w:jc w:val="left"/>
        <w:rPr>
          <w:rFonts w:ascii="宋体" w:hAnsi="宋体" w:eastAsia="宋体" w:cs="宋体"/>
          <w:kern w:val="0"/>
          <w:sz w:val="28"/>
          <w:szCs w:val="28"/>
        </w:rPr>
      </w:pPr>
      <w:r>
        <w:rPr>
          <w:rFonts w:hint="eastAsia" w:ascii="宋体" w:hAnsi="宋体" w:eastAsia="宋体" w:cs="宋体"/>
          <w:kern w:val="0"/>
          <w:sz w:val="28"/>
          <w:szCs w:val="28"/>
        </w:rPr>
        <w:t>四、交付方式及说明</w:t>
      </w:r>
    </w:p>
    <w:p>
      <w:pPr>
        <w:widowControl/>
        <w:jc w:val="left"/>
        <w:rPr>
          <w:rFonts w:ascii="宋体" w:hAnsi="宋体" w:eastAsia="宋体" w:cs="宋体"/>
          <w:sz w:val="28"/>
          <w:szCs w:val="28"/>
        </w:rPr>
      </w:pPr>
      <w:r>
        <w:rPr>
          <w:rFonts w:hint="eastAsia" w:ascii="宋体" w:hAnsi="宋体" w:eastAsia="宋体" w:cs="宋体"/>
          <w:sz w:val="28"/>
          <w:szCs w:val="28"/>
        </w:rPr>
        <w:t>合同签订后，支付中标价的30%；</w:t>
      </w:r>
    </w:p>
    <w:p>
      <w:pPr>
        <w:rPr>
          <w:rFonts w:ascii="宋体" w:hAnsi="宋体" w:eastAsia="宋体" w:cs="宋体"/>
          <w:sz w:val="28"/>
          <w:szCs w:val="28"/>
        </w:rPr>
      </w:pPr>
      <w:r>
        <w:rPr>
          <w:rFonts w:hint="eastAsia" w:ascii="宋体" w:hAnsi="宋体" w:eastAsia="宋体" w:cs="宋体"/>
          <w:sz w:val="28"/>
          <w:szCs w:val="28"/>
        </w:rPr>
        <w:t>经采购人验收通过之后七个工作日，支付中标价的70%。</w:t>
      </w:r>
    </w:p>
    <w:p>
      <w:pPr>
        <w:rPr>
          <w:rFonts w:ascii="宋体" w:hAnsi="宋体" w:eastAsia="宋体" w:cs="宋体"/>
          <w:sz w:val="28"/>
          <w:szCs w:val="28"/>
        </w:rPr>
      </w:pPr>
      <w:r>
        <w:rPr>
          <w:rFonts w:hint="eastAsia" w:ascii="宋体" w:hAnsi="宋体" w:eastAsia="宋体" w:cs="宋体"/>
          <w:sz w:val="28"/>
          <w:szCs w:val="28"/>
        </w:rPr>
        <w:t>（因财政相关原因不能及时支付的，将延期付款）。</w:t>
      </w:r>
    </w:p>
    <w:p>
      <w:pPr>
        <w:ind w:firstLine="600" w:firstLineChars="200"/>
        <w:rPr>
          <w:rFonts w:hint="eastAsia" w:ascii="黑体" w:hAnsi="黑体" w:eastAsia="黑体" w:cs="黑体"/>
          <w:color w:val="000000" w:themeColor="text1"/>
          <w:sz w:val="30"/>
          <w:szCs w:val="30"/>
          <w:lang w:val="en-US" w:eastAsia="zh-CN"/>
          <w14:textFill>
            <w14:solidFill>
              <w14:schemeClr w14:val="tx1"/>
            </w14:solidFill>
          </w14:textFill>
        </w:rPr>
      </w:pPr>
    </w:p>
    <w:p>
      <w:pPr>
        <w:pStyle w:val="2"/>
        <w:keepNext w:val="0"/>
        <w:pageBreakBefore/>
        <w:rPr>
          <w:rFonts w:ascii="Times New Roman" w:hAnsi="Times New Roman" w:eastAsia="黑体"/>
          <w:b w:val="0"/>
          <w:bCs/>
          <w:color w:val="000000" w:themeColor="text1"/>
          <w14:textFill>
            <w14:solidFill>
              <w14:schemeClr w14:val="tx1"/>
            </w14:solidFill>
          </w14:textFill>
        </w:rPr>
      </w:pPr>
      <w:r>
        <w:rPr>
          <w:rFonts w:hint="eastAsia" w:ascii="Times New Roman" w:hAnsi="Times New Roman" w:eastAsia="黑体"/>
          <w:b w:val="0"/>
          <w:bCs/>
          <w:color w:val="000000" w:themeColor="text1"/>
          <w14:textFill>
            <w14:solidFill>
              <w14:schemeClr w14:val="tx1"/>
            </w14:solidFill>
          </w14:textFill>
        </w:rPr>
        <w:t>四．</w:t>
      </w:r>
      <w:r>
        <w:rPr>
          <w:rFonts w:hint="eastAsia" w:ascii="Times New Roman" w:hAnsi="Times New Roman" w:eastAsia="黑体"/>
          <w:b w:val="0"/>
          <w:color w:val="000000" w:themeColor="text1"/>
          <w14:textFill>
            <w14:solidFill>
              <w14:schemeClr w14:val="tx1"/>
            </w14:solidFill>
          </w14:textFill>
        </w:rPr>
        <w:t>合同书（格式文本）</w:t>
      </w:r>
    </w:p>
    <w:p>
      <w:pPr>
        <w:ind w:firstLine="420" w:firstLineChars="200"/>
        <w:rPr>
          <w:rFonts w:hint="eastAsia"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w:t>
      </w:r>
      <w:r>
        <w:rPr>
          <w:rFonts w:hint="eastAsia" w:ascii="Times New Roman" w:hAnsi="Times New Roman"/>
          <w:color w:val="000000" w:themeColor="text1"/>
          <w:lang w:eastAsia="zh-CN"/>
          <w14:textFill>
            <w14:solidFill>
              <w14:schemeClr w14:val="tx1"/>
            </w14:solidFill>
          </w14:textFill>
        </w:rPr>
        <w:t>人民政府办公室</w:t>
      </w:r>
      <w:r>
        <w:rPr>
          <w:rFonts w:hint="eastAsia" w:ascii="Times New Roman" w:hAnsi="Times New Roman"/>
          <w:color w:val="000000" w:themeColor="text1"/>
          <w14:textFill>
            <w14:solidFill>
              <w14:schemeClr w14:val="tx1"/>
            </w14:solidFill>
          </w14:textFill>
        </w:rPr>
        <w:t>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noWrap w:val="0"/>
            <w:vAlign w:val="top"/>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noWrap w:val="0"/>
            <w:vAlign w:val="top"/>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 （项目编号）的采购文件、响应文件或与本次采购活动方式相适应的文件及有关附件是本合同不可分割的组成部分，与本合同具有同等法律效力，这些文件包括但不限于：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hint="eastAsia" w:ascii="Times New Roman" w:hAnsi="Times New Roman" w:eastAsia="等线"/>
          <w:color w:val="000000" w:themeColor="text1"/>
          <w:lang w:eastAsia="zh-CN"/>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w:t>
      </w:r>
      <w:r>
        <w:rPr>
          <w:rFonts w:hint="eastAsia" w:ascii="Times New Roman" w:hAnsi="Times New Roman"/>
          <w:color w:val="000000" w:themeColor="text1"/>
          <w:lang w:eastAsia="zh-CN"/>
          <w14:textFill>
            <w14:solidFill>
              <w14:schemeClr w14:val="tx1"/>
            </w14:solidFill>
          </w14:textFill>
        </w:rPr>
        <w:t>，相关费用由乙方承担。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w:t>
      </w:r>
      <w:r>
        <w:rPr>
          <w:rFonts w:hint="eastAsia" w:ascii="Times New Roman" w:hAnsi="Times New Roman"/>
          <w:color w:val="000000" w:themeColor="text1"/>
          <w:lang w:eastAsia="zh-CN"/>
          <w14:textFill>
            <w14:solidFill>
              <w14:schemeClr w14:val="tx1"/>
            </w14:solidFill>
          </w14:textFill>
        </w:rPr>
        <w:t>八</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w:t>
      </w:r>
      <w:r>
        <w:rPr>
          <w:rFonts w:hint="eastAsia" w:ascii="Times New Roman" w:hAnsi="Times New Roman"/>
          <w:color w:val="000000" w:themeColor="text1"/>
          <w:lang w:eastAsia="zh-CN"/>
          <w14:textFill>
            <w14:solidFill>
              <w14:schemeClr w14:val="tx1"/>
            </w14:solidFill>
          </w14:textFill>
        </w:rPr>
        <w:t>九</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一</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二</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三</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w:t>
      </w:r>
      <w:r>
        <w:rPr>
          <w:rFonts w:hint="eastAsia" w:ascii="Times New Roman" w:hAnsi="Times New Roman"/>
          <w:color w:val="000000" w:themeColor="text1"/>
          <w:lang w:eastAsia="zh-CN"/>
          <w14:textFill>
            <w14:solidFill>
              <w14:schemeClr w14:val="tx1"/>
            </w14:solidFill>
          </w14:textFill>
        </w:rPr>
        <w:t>四</w:t>
      </w:r>
      <w:r>
        <w:rPr>
          <w:rFonts w:hint="eastAsia" w:ascii="Times New Roman" w:hAnsi="Times New Roman"/>
          <w:color w:val="000000" w:themeColor="text1"/>
          <w14:textFill>
            <w14:solidFill>
              <w14:schemeClr w14:val="tx1"/>
            </w14:solidFill>
          </w14:textFill>
        </w:rPr>
        <w:t>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w:t>
      </w:r>
      <w:r>
        <w:rPr>
          <w:rFonts w:hint="eastAsia" w:ascii="Times New Roman" w:hAnsi="Times New Roman"/>
          <w:color w:val="000000" w:themeColor="text1"/>
          <w:lang w:eastAsia="zh-CN"/>
          <w14:textFill>
            <w14:solidFill>
              <w14:schemeClr w14:val="tx1"/>
            </w14:solidFill>
          </w14:textFill>
        </w:rPr>
        <w:t>两</w:t>
      </w:r>
      <w:r>
        <w:rPr>
          <w:rFonts w:hint="eastAsia" w:ascii="Times New Roman" w:hAnsi="Times New Roman"/>
          <w:color w:val="000000" w:themeColor="text1"/>
          <w14:textFill>
            <w14:solidFill>
              <w14:schemeClr w14:val="tx1"/>
            </w14:solidFill>
          </w14:textFill>
        </w:rPr>
        <w:t>份，甲乙双方各执一份。</w:t>
      </w:r>
    </w:p>
    <w:p>
      <w:pPr>
        <w:ind w:firstLine="420" w:firstLineChars="200"/>
        <w:rPr>
          <w:rFonts w:hint="eastAsia"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hint="eastAsia"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color w:val="000000" w:themeColor="text1"/>
          <w:sz w:val="30"/>
          <w:szCs w:val="30"/>
          <w:lang w:val="en-US" w:eastAsia="zh-CN"/>
          <w14:textFill>
            <w14:solidFill>
              <w14:schemeClr w14:val="tx1"/>
            </w14:solidFill>
          </w14:textFill>
        </w:rPr>
        <w:t>五、附件</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lang w:val="en-US" w:eastAsia="zh-CN"/>
          <w14:textFill>
            <w14:solidFill>
              <w14:schemeClr w14:val="tx1"/>
            </w14:solidFill>
          </w14:textFill>
        </w:rPr>
        <w:t>附件一、评分标准</w:t>
      </w:r>
    </w:p>
    <w:tbl>
      <w:tblPr>
        <w:tblStyle w:val="6"/>
        <w:tblpPr w:leftFromText="180" w:rightFromText="180" w:vertAnchor="text" w:horzAnchor="margin" w:tblpXSpec="center" w:tblpY="102"/>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6"/>
        <w:gridCol w:w="7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single" w:color="auto" w:sz="4" w:space="0"/>
              <w:left w:val="single" w:color="auto" w:sz="4" w:space="0"/>
              <w:bottom w:val="single" w:color="auto" w:sz="4" w:space="0"/>
              <w:right w:val="single" w:color="auto" w:sz="4" w:space="0"/>
            </w:tcBorders>
          </w:tcPr>
          <w:p>
            <w:pPr>
              <w:spacing w:line="360" w:lineRule="auto"/>
              <w:jc w:val="center"/>
              <w:rPr>
                <w:rFonts w:cs="宋体" w:eastAsiaTheme="minorEastAsia"/>
                <w:b/>
                <w:color w:val="000000" w:themeColor="text1"/>
                <w:szCs w:val="21"/>
                <w14:textFill>
                  <w14:solidFill>
                    <w14:schemeClr w14:val="tx1"/>
                  </w14:solidFill>
                </w14:textFill>
              </w:rPr>
            </w:pPr>
            <w:r>
              <w:rPr>
                <w:rFonts w:hint="eastAsia" w:cs="宋体" w:eastAsiaTheme="minorEastAsia"/>
                <w:b/>
                <w:color w:val="000000" w:themeColor="text1"/>
                <w:szCs w:val="21"/>
                <w14:textFill>
                  <w14:solidFill>
                    <w14:schemeClr w14:val="tx1"/>
                  </w14:solidFill>
                </w14:textFill>
              </w:rPr>
              <w:t>类别</w:t>
            </w:r>
          </w:p>
        </w:tc>
        <w:tc>
          <w:tcPr>
            <w:tcW w:w="0" w:type="auto"/>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cs="ΟGB2312" w:eastAsiaTheme="minorEastAsia"/>
                <w:b/>
                <w:color w:val="000000" w:themeColor="text1"/>
                <w:szCs w:val="21"/>
                <w14:textFill>
                  <w14:solidFill>
                    <w14:schemeClr w14:val="tx1"/>
                  </w14:solidFill>
                </w14:textFill>
              </w:rPr>
            </w:pPr>
            <w:r>
              <w:rPr>
                <w:rFonts w:hint="eastAsia" w:cs="宋体" w:eastAsiaTheme="minorEastAsia"/>
                <w:b/>
                <w:color w:val="000000" w:themeColor="text1"/>
                <w:szCs w:val="21"/>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spacing w:line="0" w:lineRule="atLeas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价格</w:t>
            </w:r>
          </w:p>
          <w:p>
            <w:pPr>
              <w:spacing w:line="0" w:lineRule="atLeas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w:t>
            </w:r>
          </w:p>
        </w:tc>
        <w:tc>
          <w:tcPr>
            <w:tcW w:w="0" w:type="auto"/>
            <w:tcBorders>
              <w:top w:val="single" w:color="auto" w:sz="4" w:space="0"/>
              <w:left w:val="single" w:color="auto" w:sz="4" w:space="0"/>
              <w:bottom w:val="single" w:color="auto" w:sz="4" w:space="0"/>
              <w:right w:val="single" w:color="auto" w:sz="4" w:space="0"/>
            </w:tcBorders>
            <w:vAlign w:val="center"/>
          </w:tcPr>
          <w:p>
            <w:pPr>
              <w:spacing w:line="0" w:lineRule="atLeast"/>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采用低价优先法计算，即满足招标文件要求且投标价格最低的投标报价为评标基准价，其价格分为满分。其他投标人的价格分按照下列公式计算（小数点保报价得分=(评标基准价／投标报价)×10。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pStyle w:val="3"/>
              <w:ind w:left="0" w:leftChars="0" w:firstLine="0" w:firstLineChars="0"/>
              <w:jc w:val="center"/>
              <w:rPr>
                <w:rFonts w:hint="eastAsia" w:ascii="宋体" w:hAnsi="宋体" w:eastAsia="宋体" w:cs="宋体"/>
                <w:lang w:eastAsia="zh-CN"/>
              </w:rPr>
            </w:pPr>
            <w:r>
              <w:rPr>
                <w:rFonts w:hint="eastAsia" w:ascii="宋体" w:hAnsi="宋体" w:cs="宋体"/>
                <w:lang w:eastAsia="zh-CN"/>
              </w:rPr>
              <w:t>从业资质</w:t>
            </w:r>
            <w:r>
              <w:rPr>
                <w:rFonts w:hint="eastAsia" w:ascii="宋体" w:hAnsi="宋体" w:eastAsia="宋体" w:cs="宋体"/>
                <w:lang w:eastAsia="zh-CN"/>
              </w:rPr>
              <w:t>（</w:t>
            </w:r>
            <w:r>
              <w:rPr>
                <w:rFonts w:hint="eastAsia" w:ascii="宋体" w:hAnsi="宋体" w:cs="宋体"/>
                <w:lang w:val="en-US" w:eastAsia="zh-CN"/>
              </w:rPr>
              <w:t>20</w:t>
            </w:r>
            <w:r>
              <w:rPr>
                <w:rFonts w:hint="eastAsia" w:ascii="宋体" w:hAnsi="宋体" w:eastAsia="宋体" w:cs="宋体"/>
                <w:lang w:eastAsia="zh-CN"/>
              </w:rPr>
              <w:t>）</w:t>
            </w:r>
          </w:p>
        </w:tc>
        <w:tc>
          <w:tcPr>
            <w:tcW w:w="0" w:type="auto"/>
            <w:tcBorders>
              <w:top w:val="single" w:color="auto" w:sz="4" w:space="0"/>
              <w:left w:val="single" w:color="auto" w:sz="4" w:space="0"/>
              <w:bottom w:val="single" w:color="auto" w:sz="4" w:space="0"/>
              <w:right w:val="single" w:color="auto" w:sz="4" w:space="0"/>
            </w:tcBorders>
            <w:vAlign w:val="center"/>
          </w:tcPr>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1.投标人具有网络安全等级测评与检测评估机构服务认证证书；</w:t>
            </w:r>
          </w:p>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2.投标人为2022年度泰州市网络安全技术支撑机构之一。</w:t>
            </w:r>
          </w:p>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以上每提供一项资质证明得10分，需提供相关证明材料。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pPr>
              <w:pStyle w:val="3"/>
              <w:ind w:left="0" w:leftChars="0" w:firstLine="0" w:firstLineChars="0"/>
              <w:jc w:val="center"/>
              <w:rPr>
                <w:rFonts w:hint="eastAsia" w:ascii="宋体" w:hAnsi="宋体" w:cs="宋体"/>
                <w:lang w:eastAsia="zh-CN"/>
              </w:rPr>
            </w:pPr>
            <w:r>
              <w:rPr>
                <w:rFonts w:hint="eastAsia" w:ascii="宋体" w:hAnsi="宋体" w:cs="宋体"/>
                <w:lang w:eastAsia="zh-CN"/>
              </w:rPr>
              <w:t>企业资质（</w:t>
            </w:r>
            <w:r>
              <w:rPr>
                <w:rFonts w:hint="eastAsia" w:ascii="宋体" w:hAnsi="宋体" w:cs="宋体"/>
                <w:lang w:val="en-US" w:eastAsia="zh-CN"/>
              </w:rPr>
              <w:t>20</w:t>
            </w:r>
            <w:r>
              <w:rPr>
                <w:rFonts w:hint="eastAsia" w:ascii="宋体" w:hAnsi="宋体" w:cs="宋体"/>
                <w:lang w:eastAsia="zh-CN"/>
              </w:rPr>
              <w:t>）</w:t>
            </w:r>
          </w:p>
        </w:tc>
        <w:tc>
          <w:tcPr>
            <w:tcW w:w="0" w:type="auto"/>
            <w:tcBorders>
              <w:top w:val="single" w:color="auto" w:sz="4" w:space="0"/>
              <w:left w:val="single" w:color="auto" w:sz="4" w:space="0"/>
              <w:bottom w:val="single" w:color="auto" w:sz="4" w:space="0"/>
              <w:right w:val="single" w:color="auto" w:sz="4" w:space="0"/>
            </w:tcBorders>
            <w:vAlign w:val="center"/>
          </w:tcPr>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1.投标人具备质量管理体系认证证书（ISO9001系列）且认证范围包含信息安全测评；</w:t>
            </w:r>
          </w:p>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2.投标人具备信息安全管理体系认证证书（ISO/IEC27001）且认证范围应包含信息安全测评所涉及的信息资产管理；</w:t>
            </w:r>
          </w:p>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3.投标人具有中国通信企业协会通信网络安全专业委员会安全风险评估一级资质；</w:t>
            </w:r>
          </w:p>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4.具备CNAS ITSTEC-PTP-0062019能力验证。</w:t>
            </w:r>
          </w:p>
          <w:p>
            <w:pPr>
              <w:spacing w:line="0" w:lineRule="atLeast"/>
              <w:rPr>
                <w:rFonts w:hint="default"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5.投标人参与行业等级保护或信息安全技术相关出版物编写的，需提供证明材料。</w:t>
            </w:r>
          </w:p>
          <w:p>
            <w:pPr>
              <w:spacing w:line="0" w:lineRule="atLeast"/>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以上每提供一项资质证明得4分，需提供证书材料复印件，加盖公章。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0" w:type="auto"/>
            <w:tcBorders>
              <w:top w:val="single" w:color="auto" w:sz="4" w:space="0"/>
              <w:left w:val="single" w:color="auto" w:sz="4" w:space="0"/>
              <w:right w:val="single" w:color="auto" w:sz="4" w:space="0"/>
            </w:tcBorders>
            <w:vAlign w:val="center"/>
          </w:tcPr>
          <w:p>
            <w:pPr>
              <w:spacing w:line="0" w:lineRule="atLeas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案例</w:t>
            </w:r>
          </w:p>
          <w:p>
            <w:pPr>
              <w:spacing w:line="0" w:lineRule="atLeast"/>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lang w:val="en-US" w:eastAsia="zh-CN"/>
                <w14:textFill>
                  <w14:solidFill>
                    <w14:schemeClr w14:val="tx1"/>
                  </w14:solidFill>
                </w14:textFill>
              </w:rPr>
              <w:t>30</w:t>
            </w:r>
            <w:r>
              <w:rPr>
                <w:rFonts w:hint="eastAsia" w:ascii="宋体" w:hAnsi="宋体" w:eastAsia="宋体" w:cs="宋体"/>
                <w:color w:val="000000" w:themeColor="text1"/>
                <w:szCs w:val="21"/>
                <w14:textFill>
                  <w14:solidFill>
                    <w14:schemeClr w14:val="tx1"/>
                  </w14:solidFill>
                </w14:textFill>
              </w:rPr>
              <w:t>）</w:t>
            </w:r>
          </w:p>
        </w:tc>
        <w:tc>
          <w:tcPr>
            <w:tcW w:w="0" w:type="auto"/>
            <w:tcBorders>
              <w:top w:val="single" w:color="auto" w:sz="4" w:space="0"/>
              <w:left w:val="single" w:color="auto" w:sz="4" w:space="0"/>
              <w:right w:val="single" w:color="auto" w:sz="4" w:space="0"/>
            </w:tcBorders>
            <w:vAlign w:val="center"/>
          </w:tcPr>
          <w:p>
            <w:pPr>
              <w:spacing w:line="0" w:lineRule="atLeast"/>
              <w:rPr>
                <w:rFonts w:hint="eastAsia" w:ascii="宋体" w:hAnsi="宋体" w:eastAsia="宋体" w:cs="宋体"/>
                <w:b w:val="0"/>
                <w:bCs w:val="0"/>
                <w:color w:val="000000" w:themeColor="text1"/>
                <w:szCs w:val="21"/>
                <w14:textFill>
                  <w14:solidFill>
                    <w14:schemeClr w14:val="tx1"/>
                  </w14:solidFill>
                </w14:textFill>
              </w:rPr>
            </w:pPr>
            <w:r>
              <w:rPr>
                <w:rFonts w:hint="eastAsia" w:ascii="宋体" w:hAnsi="宋体" w:eastAsia="宋体" w:cs="宋体"/>
                <w:b w:val="0"/>
                <w:bCs w:val="0"/>
                <w:color w:val="000000" w:themeColor="text1"/>
                <w:szCs w:val="21"/>
                <w14:textFill>
                  <w14:solidFill>
                    <w14:schemeClr w14:val="tx1"/>
                  </w14:solidFill>
                </w14:textFill>
              </w:rPr>
              <w:t>投标人提供201</w:t>
            </w:r>
            <w:r>
              <w:rPr>
                <w:rFonts w:hint="eastAsia" w:ascii="宋体" w:hAnsi="宋体" w:eastAsia="宋体" w:cs="宋体"/>
                <w:b w:val="0"/>
                <w:bCs w:val="0"/>
                <w:color w:val="000000" w:themeColor="text1"/>
                <w:szCs w:val="21"/>
                <w:lang w:val="en-US" w:eastAsia="zh-CN"/>
                <w14:textFill>
                  <w14:solidFill>
                    <w14:schemeClr w14:val="tx1"/>
                  </w14:solidFill>
                </w14:textFill>
              </w:rPr>
              <w:t>9</w:t>
            </w:r>
            <w:r>
              <w:rPr>
                <w:rFonts w:hint="eastAsia" w:ascii="宋体" w:hAnsi="宋体" w:eastAsia="宋体" w:cs="宋体"/>
                <w:b w:val="0"/>
                <w:bCs w:val="0"/>
                <w:color w:val="000000" w:themeColor="text1"/>
                <w:szCs w:val="21"/>
                <w14:textFill>
                  <w14:solidFill>
                    <w14:schemeClr w14:val="tx1"/>
                  </w14:solidFill>
                </w14:textFill>
              </w:rPr>
              <w:t>年以来相关等保三级测评案例，每个得3分，最多30分。</w:t>
            </w:r>
          </w:p>
          <w:p>
            <w:pPr>
              <w:spacing w:line="0" w:lineRule="atLeast"/>
              <w:rPr>
                <w:rFonts w:hint="eastAsia" w:ascii="宋体" w:hAnsi="宋体" w:eastAsia="宋体" w:cs="宋体"/>
                <w:b w:val="0"/>
                <w:bCs w:val="0"/>
                <w:color w:val="000000" w:themeColor="text1"/>
                <w:szCs w:val="21"/>
                <w:lang w:eastAsia="zh-CN"/>
                <w14:textFill>
                  <w14:solidFill>
                    <w14:schemeClr w14:val="tx1"/>
                  </w14:solidFill>
                </w14:textFill>
              </w:rPr>
            </w:pPr>
            <w:r>
              <w:rPr>
                <w:rFonts w:hint="eastAsia" w:ascii="宋体" w:hAnsi="宋体" w:eastAsia="宋体" w:cs="宋体"/>
                <w:b w:val="0"/>
                <w:bCs w:val="0"/>
                <w:color w:val="000000" w:themeColor="text1"/>
                <w:szCs w:val="21"/>
                <w:lang w:eastAsia="zh-CN"/>
                <w14:textFill>
                  <w14:solidFill>
                    <w14:schemeClr w14:val="tx1"/>
                  </w14:solidFill>
                </w14:textFill>
              </w:rPr>
              <w:t>需</w:t>
            </w:r>
            <w:r>
              <w:rPr>
                <w:rFonts w:hint="eastAsia" w:ascii="宋体" w:hAnsi="宋体" w:eastAsia="宋体" w:cs="宋体"/>
                <w:b w:val="0"/>
                <w:bCs w:val="0"/>
                <w:color w:val="000000" w:themeColor="text1"/>
                <w:szCs w:val="21"/>
                <w14:textFill>
                  <w14:solidFill>
                    <w14:schemeClr w14:val="tx1"/>
                  </w14:solidFill>
                </w14:textFill>
              </w:rPr>
              <w:t>提供合同复印件</w:t>
            </w:r>
            <w:r>
              <w:rPr>
                <w:rFonts w:hint="eastAsia" w:ascii="宋体" w:hAnsi="宋体" w:eastAsia="宋体" w:cs="宋体"/>
                <w:b w:val="0"/>
                <w:bCs w:val="0"/>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5" w:hRule="atLeast"/>
          <w:jc w:val="center"/>
        </w:trPr>
        <w:tc>
          <w:tcPr>
            <w:tcW w:w="0" w:type="auto"/>
            <w:tcBorders>
              <w:left w:val="single" w:color="auto" w:sz="4" w:space="0"/>
              <w:right w:val="single" w:color="auto" w:sz="4" w:space="0"/>
            </w:tcBorders>
            <w:vAlign w:val="center"/>
          </w:tcPr>
          <w:p>
            <w:pPr>
              <w:spacing w:line="0" w:lineRule="atLeast"/>
              <w:jc w:val="cente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增值服务（20）</w:t>
            </w:r>
          </w:p>
        </w:tc>
        <w:tc>
          <w:tcPr>
            <w:tcW w:w="0" w:type="auto"/>
            <w:tcBorders>
              <w:left w:val="single" w:color="auto" w:sz="4" w:space="0"/>
              <w:right w:val="single" w:color="auto" w:sz="4" w:space="0"/>
            </w:tcBorders>
            <w:vAlign w:val="center"/>
          </w:tcPr>
          <w:p>
            <w:pPr>
              <w:spacing w:line="0" w:lineRule="atLeas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投标人提供网络安全相关的增值服务（包括不限于：漏扫、渗透测试、系统上线前安全评估、应急响应支撑、培训、应急演练等），横向比较打分：</w:t>
            </w:r>
          </w:p>
          <w:p>
            <w:pPr>
              <w:spacing w:line="0" w:lineRule="atLeas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1.服务全面得15-20分；</w:t>
            </w:r>
          </w:p>
          <w:p>
            <w:pPr>
              <w:spacing w:line="0" w:lineRule="atLeas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2.服务一般得5-14分；</w:t>
            </w:r>
          </w:p>
          <w:p>
            <w:pPr>
              <w:spacing w:line="0" w:lineRule="atLeas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3.服务较差得0-4分。</w:t>
            </w:r>
          </w:p>
          <w:p>
            <w:pPr>
              <w:spacing w:line="0" w:lineRule="atLeas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需提供承诺函。</w:t>
            </w:r>
          </w:p>
        </w:tc>
      </w:tr>
    </w:tbl>
    <w:p>
      <w:pPr>
        <w:keepNext w:val="0"/>
        <w:keepLines w:val="0"/>
        <w:pageBreakBefore w:val="0"/>
        <w:widowControl w:val="0"/>
        <w:kinsoku/>
        <w:wordWrap/>
        <w:overflowPunct/>
        <w:topLinePunct w:val="0"/>
        <w:autoSpaceDE/>
        <w:autoSpaceDN/>
        <w:bidi w:val="0"/>
        <w:adjustRightInd/>
        <w:snapToGrid w:val="0"/>
        <w:spacing w:line="240" w:lineRule="exact"/>
        <w:jc w:val="left"/>
        <w:textAlignment w:val="auto"/>
        <w:rPr>
          <w:rFonts w:hint="eastAsia" w:ascii="Times New Roman" w:hAnsi="Times New Roman" w:cs="宋体"/>
          <w:b/>
          <w:color w:val="000000"/>
          <w:kern w:val="0"/>
          <w:sz w:val="24"/>
        </w:rPr>
      </w:pPr>
    </w:p>
    <w:p>
      <w:pPr>
        <w:keepNext w:val="0"/>
        <w:keepLines w:val="0"/>
        <w:pageBreakBefore w:val="0"/>
        <w:widowControl w:val="0"/>
        <w:kinsoku/>
        <w:wordWrap/>
        <w:overflowPunct/>
        <w:topLinePunct w:val="0"/>
        <w:autoSpaceDE/>
        <w:autoSpaceDN/>
        <w:bidi w:val="0"/>
        <w:adjustRightInd/>
        <w:snapToGrid w:val="0"/>
        <w:spacing w:line="320" w:lineRule="exact"/>
        <w:jc w:val="left"/>
        <w:textAlignment w:val="auto"/>
        <w:rPr>
          <w:rFonts w:hint="eastAsia" w:ascii="黑体" w:hAnsi="黑体" w:eastAsia="黑体" w:cs="黑体"/>
          <w:bCs/>
        </w:rPr>
      </w:pPr>
      <w:r>
        <w:rPr>
          <w:rFonts w:hint="eastAsia" w:ascii="黑体" w:hAnsi="黑体" w:eastAsia="黑体" w:cs="黑体"/>
          <w:b/>
          <w:color w:val="000000"/>
          <w:kern w:val="0"/>
          <w:sz w:val="24"/>
        </w:rPr>
        <w:t>价格扣除：</w:t>
      </w:r>
      <w:r>
        <w:rPr>
          <w:rFonts w:hint="eastAsia" w:ascii="黑体" w:hAnsi="黑体" w:eastAsia="黑体" w:cs="黑体"/>
          <w:bCs/>
        </w:rPr>
        <w:t>对小型和微型企业产品的价格给予10%的扣除。参加报价的中小企业，应当按照《政府采购促进中小企业发展暂行办法》（财库〔2011〕181号）的规定提供《中小企业声明函》（中小企业划型标准详见《关于印发中小企业划型标准规定的通知》工信部联企业〔2011〕300号）。</w:t>
      </w:r>
    </w:p>
    <w:p>
      <w:pPr>
        <w:rPr>
          <w:rFonts w:hint="eastAsia" w:ascii="黑体" w:hAnsi="黑体" w:eastAsia="黑体" w:cs="黑体"/>
          <w:color w:val="000000" w:themeColor="text1"/>
          <w:sz w:val="30"/>
          <w:szCs w:val="30"/>
          <w:lang w:val="en-US" w:eastAsia="zh-CN"/>
          <w14:textFill>
            <w14:solidFill>
              <w14:schemeClr w14:val="tx1"/>
            </w14:solidFill>
          </w14:textFill>
        </w:rPr>
      </w:pPr>
      <w:r>
        <w:rPr>
          <w:rFonts w:hint="eastAsia" w:ascii="黑体" w:hAnsi="黑体" w:eastAsia="黑体" w:cs="黑体"/>
          <w:b/>
          <w:color w:val="000000"/>
          <w:kern w:val="0"/>
          <w:sz w:val="24"/>
        </w:rPr>
        <w:t>特别提醒：</w:t>
      </w:r>
      <w:r>
        <w:rPr>
          <w:rFonts w:hint="eastAsia" w:ascii="黑体" w:hAnsi="黑体" w:eastAsia="黑体" w:cs="黑体"/>
          <w:bCs/>
        </w:rPr>
        <w:t>投标单位如有提供不实评审材料，弄虚作假者，一律作废标处理，该不良行为予以公示。</w:t>
      </w:r>
      <w:r>
        <w:rPr>
          <w:rFonts w:hint="eastAsia" w:ascii="黑体" w:hAnsi="黑体" w:eastAsia="黑体" w:cs="黑体"/>
          <w:color w:val="000000" w:themeColor="text1"/>
          <w:sz w:val="30"/>
          <w:szCs w:val="30"/>
          <w:lang w:val="en-US" w:eastAsia="zh-CN"/>
          <w14:textFill>
            <w14:solidFill>
              <w14:schemeClr w14:val="tx1"/>
            </w14:solidFill>
          </w14:textFill>
        </w:rPr>
        <w:br w:type="page"/>
      </w:r>
    </w:p>
    <w:p>
      <w:pPr>
        <w:outlineLvl w:val="0"/>
        <w:rPr>
          <w:rFonts w:hint="eastAsia"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outlineLvl w:val="0"/>
        <w:rPr>
          <w:rFonts w:hint="eastAsia" w:ascii="Times New Roman" w:hAnsi="Times New Roman" w:eastAsia="黑体"/>
          <w:bCs/>
          <w:color w:val="000000" w:themeColor="text1"/>
          <w:sz w:val="24"/>
          <w:szCs w:val="24"/>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hint="eastAsia" w:ascii="Times New Roman" w:hAnsi="Times New Roman" w:eastAsia="黑体"/>
          <w:bCs/>
          <w:color w:val="000000" w:themeColor="text1"/>
          <w:sz w:val="7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hint="eastAsia" w:ascii="Times New Roman" w:hAnsi="Times New Roman" w:eastAsia="黑体"/>
          <w:bCs/>
          <w:color w:val="000000" w:themeColor="text1"/>
          <w:sz w:val="7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hint="eastAsia" w:ascii="Times New Roman" w:hAnsi="Times New Roman" w:eastAsia="黑体"/>
          <w:bCs/>
          <w:color w:val="000000" w:themeColor="text1"/>
          <w:sz w:val="52"/>
          <w:szCs w:val="52"/>
          <w14:textFill>
            <w14:solidFill>
              <w14:schemeClr w14:val="tx1"/>
            </w14:solidFill>
          </w14:textFill>
        </w:rPr>
      </w:pPr>
    </w:p>
    <w:p>
      <w:pPr>
        <w:jc w:val="center"/>
        <w:rPr>
          <w:rFonts w:hint="eastAsia"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hint="eastAsia" w:ascii="Times New Roman" w:hAnsi="Times New Roman" w:eastAsia="楷体_GB2312"/>
          <w:bCs/>
          <w:color w:val="000000" w:themeColor="text1"/>
          <w:sz w:val="72"/>
          <w14:textFill>
            <w14:solidFill>
              <w14:schemeClr w14:val="tx1"/>
            </w14:solidFill>
          </w14:textFill>
        </w:rPr>
      </w:pPr>
    </w:p>
    <w:p>
      <w:pPr>
        <w:rPr>
          <w:rFonts w:hint="eastAsia" w:ascii="Times New Roman" w:hAnsi="Times New Roman" w:eastAsia="楷体_GB2312"/>
          <w:bCs/>
          <w:color w:val="000000" w:themeColor="text1"/>
          <w:sz w:val="28"/>
          <w:szCs w:val="20"/>
          <w14:textFill>
            <w14:solidFill>
              <w14:schemeClr w14:val="tx1"/>
            </w14:solidFill>
          </w14:textFill>
        </w:rPr>
      </w:pPr>
    </w:p>
    <w:p>
      <w:pPr>
        <w:ind w:firstLine="1120" w:firstLineChars="400"/>
        <w:rPr>
          <w:rFonts w:hint="eastAsia" w:ascii="Times New Roman" w:hAnsi="Times New Roman" w:eastAsia="黑体"/>
          <w:bCs/>
          <w:color w:val="000000" w:themeColor="text1"/>
          <w:sz w:val="28"/>
          <w:szCs w:val="28"/>
          <w:lang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w:t>
      </w:r>
    </w:p>
    <w:p>
      <w:pPr>
        <w:ind w:firstLine="1120" w:firstLineChars="400"/>
        <w:rPr>
          <w:rFonts w:hint="eastAsia" w:ascii="Times New Roman" w:hAnsi="Times New Roman" w:eastAsia="黑体"/>
          <w:bCs/>
          <w:color w:val="000000" w:themeColor="text1"/>
          <w:sz w:val="28"/>
          <w:szCs w:val="28"/>
          <w:lang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w:t>
      </w:r>
    </w:p>
    <w:p>
      <w:pPr>
        <w:ind w:firstLine="1120" w:firstLineChars="400"/>
        <w:rPr>
          <w:rFonts w:hint="eastAsia"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hint="eastAsia" w:ascii="Times New Roman" w:hAnsi="Times New Roman" w:eastAsia="黑体"/>
          <w:bCs/>
          <w:color w:val="000000" w:themeColor="text1"/>
          <w:sz w:val="32"/>
          <w14:textFill>
            <w14:solidFill>
              <w14:schemeClr w14:val="tx1"/>
            </w14:solidFill>
          </w14:textFill>
        </w:rPr>
      </w:pPr>
    </w:p>
    <w:p>
      <w:pPr>
        <w:jc w:val="center"/>
        <w:rPr>
          <w:rFonts w:hint="eastAsia"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   年  月  日</w:t>
      </w:r>
    </w:p>
    <w:p>
      <w:pPr>
        <w:rPr>
          <w:rFonts w:hint="default" w:ascii="黑体" w:hAnsi="黑体" w:eastAsia="黑体" w:cs="黑体"/>
          <w:color w:val="000000" w:themeColor="text1"/>
          <w:sz w:val="30"/>
          <w:szCs w:val="30"/>
          <w:lang w:val="en-US" w:eastAsia="zh-CN"/>
          <w14:textFill>
            <w14:solidFill>
              <w14:schemeClr w14:val="tx1"/>
            </w14:solidFill>
          </w14:textFill>
        </w:rPr>
      </w:pPr>
    </w:p>
    <w:p>
      <w:pPr>
        <w:rPr>
          <w:rFonts w:hint="default" w:ascii="黑体" w:hAnsi="黑体" w:eastAsia="黑体" w:cs="黑体"/>
          <w:color w:val="000000" w:themeColor="text1"/>
          <w:sz w:val="30"/>
          <w:szCs w:val="30"/>
          <w:lang w:val="en-US" w:eastAsia="zh-CN"/>
          <w14:textFill>
            <w14:solidFill>
              <w14:schemeClr w14:val="tx1"/>
            </w14:solidFill>
          </w14:textFill>
        </w:rPr>
      </w:pPr>
    </w:p>
    <w:p>
      <w:pPr>
        <w:rPr>
          <w:rFonts w:hint="default" w:ascii="黑体" w:hAnsi="黑体" w:eastAsia="黑体" w:cs="黑体"/>
          <w:color w:val="000000" w:themeColor="text1"/>
          <w:sz w:val="30"/>
          <w:szCs w:val="30"/>
          <w:lang w:val="en-US" w:eastAsia="zh-CN"/>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Pr>
        <w:outlineLvl w:val="0"/>
        <w:rPr>
          <w:rFonts w:hint="eastAsia" w:ascii="黑体" w:hAnsi="黑体" w:eastAsia="黑体" w:cs="黑体"/>
          <w:b/>
          <w:bCs/>
          <w:color w:val="000000" w:themeColor="text1"/>
          <w:sz w:val="24"/>
          <w:szCs w:val="24"/>
          <w14:textFill>
            <w14:solidFill>
              <w14:schemeClr w14:val="tx1"/>
            </w14:solidFill>
          </w14:textFill>
        </w:rPr>
      </w:pPr>
    </w:p>
    <w:p>
      <w:pPr>
        <w:spacing w:line="360" w:lineRule="auto"/>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36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w:t>
      </w:r>
      <w:r>
        <w:rPr>
          <w:rFonts w:hint="eastAsia" w:ascii="黑体" w:hAnsi="黑体" w:eastAsia="黑体" w:cs="黑体"/>
          <w:bCs/>
          <w:color w:val="000000" w:themeColor="text1"/>
          <w:sz w:val="24"/>
          <w:szCs w:val="24"/>
          <w:lang w:val="en-US" w:eastAsia="zh-CN"/>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2"/>
        </w:numPr>
        <w:tabs>
          <w:tab w:val="left" w:pos="315"/>
          <w:tab w:val="left" w:pos="840"/>
          <w:tab w:val="left" w:pos="945"/>
          <w:tab w:val="left" w:pos="1050"/>
        </w:tabs>
        <w:spacing w:line="360" w:lineRule="auto"/>
        <w:ind w:left="0"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2"/>
        </w:numPr>
        <w:tabs>
          <w:tab w:val="left" w:pos="0"/>
          <w:tab w:val="left" w:pos="315"/>
          <w:tab w:val="left" w:pos="525"/>
          <w:tab w:val="left" w:pos="840"/>
          <w:tab w:val="left" w:pos="945"/>
          <w:tab w:val="left" w:pos="1050"/>
        </w:tabs>
        <w:spacing w:line="360" w:lineRule="auto"/>
        <w:ind w:left="0" w:firstLine="523" w:firstLineChars="218"/>
        <w:rPr>
          <w:rStyle w:val="9"/>
          <w:rFonts w:hint="eastAsia"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w:t>
      </w:r>
      <w:r>
        <w:rPr>
          <w:rFonts w:hint="eastAsia" w:ascii="黑体" w:hAnsi="黑体" w:eastAsia="黑体" w:cs="黑体"/>
          <w:bCs/>
          <w:color w:val="000000" w:themeColor="text1"/>
          <w:sz w:val="24"/>
          <w:szCs w:val="24"/>
          <w:lang w:eastAsia="zh-CN"/>
          <w14:textFill>
            <w14:solidFill>
              <w14:schemeClr w14:val="tx1"/>
            </w14:solidFill>
          </w14:textFill>
        </w:rPr>
        <w:t>泰州市人民政府办公室</w:t>
      </w:r>
      <w:r>
        <w:rPr>
          <w:rFonts w:hint="eastAsia" w:ascii="黑体" w:hAnsi="黑体" w:eastAsia="黑体" w:cs="黑体"/>
          <w:bCs/>
          <w:color w:val="000000" w:themeColor="text1"/>
          <w:sz w:val="24"/>
          <w:szCs w:val="24"/>
          <w14:textFill>
            <w14:solidFill>
              <w14:schemeClr w14:val="tx1"/>
            </w14:solidFill>
          </w14:textFill>
        </w:rPr>
        <w:t>在采购文件中要求的文件、资料。</w:t>
      </w:r>
    </w:p>
    <w:p>
      <w:pPr>
        <w:numPr>
          <w:ilvl w:val="0"/>
          <w:numId w:val="2"/>
        </w:numPr>
        <w:tabs>
          <w:tab w:val="left" w:pos="0"/>
          <w:tab w:val="left" w:pos="315"/>
          <w:tab w:val="left" w:pos="525"/>
          <w:tab w:val="left" w:pos="630"/>
          <w:tab w:val="left" w:pos="945"/>
          <w:tab w:val="left" w:pos="1050"/>
        </w:tabs>
        <w:spacing w:line="360" w:lineRule="auto"/>
        <w:ind w:left="0" w:firstLine="523" w:firstLineChars="218"/>
        <w:rPr>
          <w:rFonts w:hint="eastAsia"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w:t>
      </w:r>
      <w:r>
        <w:rPr>
          <w:rFonts w:hint="eastAsia" w:ascii="黑体" w:hAnsi="黑体" w:eastAsia="黑体" w:cs="黑体"/>
          <w:bCs/>
          <w:color w:val="000000" w:themeColor="text1"/>
          <w:sz w:val="24"/>
          <w:szCs w:val="24"/>
          <w:lang w:eastAsia="zh-CN"/>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有权决定成交者。</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我方愿意遵守《中华人民共和国政府采购法》，并按《中华人民共和国合同法》和合同条款履行自己的全部责任。</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2"/>
        </w:numPr>
        <w:tabs>
          <w:tab w:val="left" w:pos="0"/>
          <w:tab w:val="left" w:pos="315"/>
          <w:tab w:val="left" w:pos="525"/>
          <w:tab w:val="left" w:pos="945"/>
          <w:tab w:val="left" w:pos="1050"/>
        </w:tabs>
        <w:spacing w:line="360" w:lineRule="auto"/>
        <w:ind w:left="0"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hint="eastAsia"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0"/>
        <w:rPr>
          <w:rFonts w:hint="eastAsia" w:ascii="黑体" w:hAnsi="黑体" w:eastAsia="黑体" w:cs="黑体"/>
          <w:bCs/>
          <w:color w:val="000000" w:themeColor="text1"/>
          <w:sz w:val="24"/>
          <w:szCs w:val="24"/>
          <w14:textFill>
            <w14:solidFill>
              <w14:schemeClr w14:val="tx1"/>
            </w14:solidFill>
          </w14:textFill>
        </w:rPr>
      </w:pPr>
      <w:bookmarkStart w:id="9" w:name="_Toc534555663"/>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hint="eastAsia" w:ascii="黑体" w:hAnsi="黑体" w:eastAsia="黑体" w:cs="黑体"/>
          <w:bCs/>
          <w:color w:val="000000" w:themeColor="text1"/>
          <w:sz w:val="36"/>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hint="eastAsia" w:ascii="黑体" w:hAnsi="黑体" w:eastAsia="黑体" w:cs="黑体"/>
          <w:bCs/>
          <w:color w:val="000000" w:themeColor="text1"/>
          <w:sz w:val="32"/>
          <w14:textFill>
            <w14:solidFill>
              <w14:schemeClr w14:val="tx1"/>
            </w14:solidFill>
          </w14:textFill>
        </w:rPr>
      </w:pPr>
    </w:p>
    <w:p>
      <w:pPr>
        <w:spacing w:line="480" w:lineRule="auto"/>
        <w:jc w:val="center"/>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w:t>
      </w:r>
    </w:p>
    <w:p>
      <w:pPr>
        <w:tabs>
          <w:tab w:val="left" w:pos="6300"/>
        </w:tabs>
        <w:spacing w:line="480" w:lineRule="auto"/>
        <w:jc w:val="center"/>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hint="eastAsia" w:ascii="黑体" w:hAnsi="黑体" w:eastAsia="黑体" w:cs="黑体"/>
          <w:bCs/>
          <w:color w:val="000000" w:themeColor="text1"/>
          <w:sz w:val="24"/>
          <w:szCs w:val="24"/>
          <w14:textFill>
            <w14:solidFill>
              <w14:schemeClr w14:val="tx1"/>
            </w14:solidFill>
          </w14:textFill>
        </w:rPr>
      </w:pP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hint="eastAsia" w:ascii="黑体" w:hAnsi="黑体" w:eastAsia="黑体" w:cs="黑体"/>
          <w:bCs/>
          <w:color w:val="000000" w:themeColor="text1"/>
          <w:sz w:val="24"/>
          <w:szCs w:val="24"/>
          <w14:textFill>
            <w14:solidFill>
              <w14:schemeClr w14:val="tx1"/>
            </w14:solidFill>
          </w14:textFill>
        </w:rPr>
      </w:pP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Pr>
        <w:outlineLvl w:val="0"/>
        <w:rPr>
          <w:rFonts w:hint="eastAsia" w:ascii="黑体" w:hAnsi="黑体" w:eastAsia="黑体" w:cs="黑体"/>
          <w:bCs/>
          <w:color w:val="000000" w:themeColor="text1"/>
          <w:sz w:val="28"/>
          <w:szCs w:val="28"/>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hint="eastAsia" w:ascii="黑体" w:hAnsi="黑体" w:eastAsia="黑体" w:cs="黑体"/>
          <w:bCs/>
          <w:color w:val="000000" w:themeColor="text1"/>
          <w:sz w:val="36"/>
          <w14:textFill>
            <w14:solidFill>
              <w14:schemeClr w14:val="tx1"/>
            </w14:solidFill>
          </w14:textFill>
        </w:rPr>
      </w:pPr>
    </w:p>
    <w:p>
      <w:pPr>
        <w:spacing w:line="480" w:lineRule="auto"/>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w:t>
      </w:r>
    </w:p>
    <w:p>
      <w:pPr>
        <w:spacing w:line="480" w:lineRule="auto"/>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lang w:val="en-US" w:eastAsia="zh-CN"/>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日期：</w:t>
      </w: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60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w:t>
      </w:r>
    </w:p>
    <w:p>
      <w:pPr>
        <w:spacing w:line="58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u w:val="none"/>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bookmarkStart w:id="13"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Pr>
        <w:outlineLvl w:val="0"/>
        <w:rPr>
          <w:rFonts w:hint="eastAsia" w:ascii="黑体" w:hAnsi="黑体" w:eastAsia="黑体" w:cs="黑体"/>
          <w:bCs/>
          <w:color w:val="000000" w:themeColor="text1"/>
          <w:sz w:val="24"/>
          <w:szCs w:val="24"/>
          <w14:textFill>
            <w14:solidFill>
              <w14:schemeClr w14:val="tx1"/>
            </w14:solidFill>
          </w14:textFill>
        </w:rPr>
      </w:pPr>
    </w:p>
    <w:p>
      <w:pPr>
        <w:outlineLvl w:val="0"/>
        <w:rPr>
          <w:rFonts w:hint="eastAsia" w:ascii="黑体" w:hAnsi="黑体" w:eastAsia="黑体" w:cs="黑体"/>
          <w:bCs/>
          <w:color w:val="000000" w:themeColor="text1"/>
          <w:sz w:val="24"/>
          <w:szCs w:val="24"/>
          <w14:textFill>
            <w14:solidFill>
              <w14:schemeClr w14:val="tx1"/>
            </w14:solidFill>
          </w14:textFill>
        </w:rPr>
      </w:pPr>
    </w:p>
    <w:p>
      <w:pPr>
        <w:jc w:val="center"/>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hint="eastAsia" w:ascii="黑体" w:hAnsi="黑体" w:eastAsia="黑体" w:cs="黑体"/>
          <w:color w:val="000000" w:themeColor="text1"/>
          <w14:textFill>
            <w14:solidFill>
              <w14:schemeClr w14:val="tx1"/>
            </w14:solidFill>
          </w14:textFill>
        </w:rPr>
      </w:pPr>
    </w:p>
    <w:p>
      <w:pPr>
        <w:rPr>
          <w:rFonts w:hint="eastAsia"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hint="eastAsia" w:ascii="黑体" w:hAnsi="黑体" w:eastAsia="黑体" w:cs="黑体"/>
          <w:bCs/>
          <w:color w:val="000000" w:themeColor="text1"/>
          <w:sz w:val="24"/>
          <w:szCs w:val="24"/>
          <w14:textFill>
            <w14:solidFill>
              <w14:schemeClr w14:val="tx1"/>
            </w14:solidFill>
          </w14:textFill>
        </w:rPr>
      </w:pP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360" w:lineRule="auto"/>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w:t>
      </w:r>
      <w:r>
        <w:rPr>
          <w:rFonts w:hint="eastAsia" w:ascii="黑体" w:hAnsi="黑体" w:eastAsia="黑体" w:cs="黑体"/>
          <w:bCs/>
          <w:color w:val="000000" w:themeColor="text1"/>
          <w:sz w:val="24"/>
          <w:szCs w:val="24"/>
          <w:lang w:eastAsia="zh-CN"/>
          <w14:textFill>
            <w14:solidFill>
              <w14:schemeClr w14:val="tx1"/>
            </w14:solidFill>
          </w14:textFill>
        </w:rPr>
        <w:t>人民政府办公室</w:t>
      </w:r>
      <w:r>
        <w:rPr>
          <w:rFonts w:hint="eastAsia" w:ascii="黑体" w:hAnsi="黑体" w:eastAsia="黑体" w:cs="黑体"/>
          <w:bCs/>
          <w:color w:val="000000" w:themeColor="text1"/>
          <w:sz w:val="24"/>
          <w:szCs w:val="24"/>
          <w14:textFill>
            <w14:solidFill>
              <w14:schemeClr w14:val="tx1"/>
            </w14:solidFill>
          </w14:textFill>
        </w:rPr>
        <w:t>有权将相关内容进行公示。</w:t>
      </w:r>
    </w:p>
    <w:p>
      <w:pPr>
        <w:ind w:firstLine="420" w:firstLineChars="175"/>
        <w:outlineLvl w:val="0"/>
        <w:rPr>
          <w:rFonts w:hint="eastAsia"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4" w:name="_Toc534555668"/>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Pr>
        <w:outlineLvl w:val="0"/>
        <w:rPr>
          <w:rFonts w:hint="eastAsia" w:ascii="黑体" w:hAnsi="黑体" w:eastAsia="黑体" w:cs="黑体"/>
          <w:bCs/>
          <w:color w:val="000000" w:themeColor="text1"/>
          <w:sz w:val="28"/>
          <w:szCs w:val="28"/>
          <w14:textFill>
            <w14:solidFill>
              <w14:schemeClr w14:val="tx1"/>
            </w14:solidFill>
          </w14:textFill>
        </w:rPr>
      </w:pPr>
    </w:p>
    <w:p>
      <w:pPr>
        <w:jc w:val="center"/>
        <w:rPr>
          <w:rFonts w:hint="eastAsia"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hint="eastAsia" w:ascii="黑体" w:hAnsi="黑体" w:eastAsia="黑体" w:cs="黑体"/>
          <w:bCs/>
          <w:color w:val="000000" w:themeColor="text1"/>
          <w:sz w:val="28"/>
          <w:szCs w:val="28"/>
          <w14:textFill>
            <w14:solidFill>
              <w14:schemeClr w14:val="tx1"/>
            </w14:solidFill>
          </w14:textFill>
        </w:rPr>
      </w:pPr>
    </w:p>
    <w:p>
      <w:pPr>
        <w:spacing w:line="480" w:lineRule="auto"/>
        <w:rPr>
          <w:rFonts w:hint="eastAsia"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hint="eastAsia"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w:t>
      </w:r>
      <w:r>
        <w:rPr>
          <w:rFonts w:hint="eastAsia" w:ascii="黑体" w:hAnsi="黑体" w:eastAsia="黑体" w:cs="黑体"/>
          <w:bCs/>
          <w:color w:val="000000" w:themeColor="text1"/>
          <w:sz w:val="24"/>
          <w:szCs w:val="24"/>
          <w:lang w:eastAsia="zh-CN"/>
          <w14:textFill>
            <w14:solidFill>
              <w14:schemeClr w14:val="tx1"/>
            </w14:solidFill>
          </w14:textFill>
        </w:rPr>
        <w:t>填写采购项目编号</w:t>
      </w:r>
      <w:r>
        <w:rPr>
          <w:rFonts w:hint="eastAsia" w:ascii="黑体" w:hAnsi="黑体" w:eastAsia="黑体" w:cs="黑体"/>
          <w:bCs/>
          <w:color w:val="000000" w:themeColor="text1"/>
          <w:sz w:val="24"/>
          <w:szCs w:val="24"/>
          <w14:textFill>
            <w14:solidFill>
              <w14:schemeClr w14:val="tx1"/>
            </w14:solidFill>
          </w14:textFill>
        </w:rPr>
        <w:t>）所提供的货物均为原厂全新合格品；</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rPr>
          <w:rFonts w:hint="eastAsia" w:ascii="黑体" w:hAnsi="黑体" w:eastAsia="黑体" w:cs="黑体"/>
          <w:color w:val="000000" w:themeColor="text1"/>
          <w14:textFill>
            <w14:solidFill>
              <w14:schemeClr w14:val="tx1"/>
            </w14:solidFill>
          </w14:textFill>
        </w:rPr>
        <w:fldChar w:fldCharType="begin"/>
      </w:r>
      <w:r>
        <w:rPr>
          <w:rFonts w:hint="eastAsia" w:ascii="黑体" w:hAnsi="黑体" w:eastAsia="黑体" w:cs="黑体"/>
          <w:color w:val="000000" w:themeColor="text1"/>
          <w14:textFill>
            <w14:solidFill>
              <w14:schemeClr w14:val="tx1"/>
            </w14:solidFill>
          </w14:textFill>
        </w:rPr>
        <w:instrText xml:space="preserve"> HYPERLINK "http://www.creditchina.gov.cn" </w:instrText>
      </w:r>
      <w:r>
        <w:rPr>
          <w:rFonts w:hint="eastAsia" w:ascii="黑体" w:hAnsi="黑体" w:eastAsia="黑体" w:cs="黑体"/>
          <w:color w:val="000000" w:themeColor="text1"/>
          <w14:textFill>
            <w14:solidFill>
              <w14:schemeClr w14:val="tx1"/>
            </w14:solidFill>
          </w14:textFill>
        </w:rPr>
        <w:fldChar w:fldCharType="separate"/>
      </w:r>
      <w:r>
        <w:rPr>
          <w:rStyle w:val="10"/>
          <w:rFonts w:hint="eastAsia" w:ascii="黑体" w:hAnsi="黑体" w:eastAsia="黑体" w:cs="黑体"/>
          <w:bCs/>
          <w:color w:val="000000" w:themeColor="text1"/>
          <w:sz w:val="24"/>
          <w:szCs w:val="24"/>
          <w14:textFill>
            <w14:solidFill>
              <w14:schemeClr w14:val="tx1"/>
            </w14:solidFill>
          </w14:textFill>
        </w:rPr>
        <w:t>www.creditchina.gov.cn</w:t>
      </w:r>
      <w:r>
        <w:rPr>
          <w:rFonts w:hint="eastAsia" w:ascii="黑体" w:hAnsi="黑体" w:eastAsia="黑体" w:cs="黑体"/>
          <w:color w:val="000000" w:themeColor="text1"/>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hint="eastAsia" w:ascii="黑体" w:hAnsi="黑体" w:eastAsia="黑体" w:cs="黑体"/>
          <w:color w:val="000000" w:themeColor="text1"/>
          <w:sz w:val="24"/>
          <w14:textFill>
            <w14:solidFill>
              <w14:schemeClr w14:val="tx1"/>
            </w14:solidFill>
          </w14:textFill>
        </w:rPr>
      </w:pPr>
    </w:p>
    <w:p>
      <w:pPr>
        <w:spacing w:line="480" w:lineRule="auto"/>
        <w:ind w:firstLine="5400" w:firstLineChars="2250"/>
        <w:rPr>
          <w:rFonts w:hint="eastAsia"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hint="eastAsia"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szCs w:val="20"/>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jc w:val="center"/>
        <w:rPr>
          <w:rFonts w:hint="eastAsia" w:ascii="黑体" w:hAnsi="黑体" w:eastAsia="黑体" w:cs="黑体"/>
          <w:bCs/>
          <w:color w:val="000000" w:themeColor="text1"/>
          <w:sz w:val="32"/>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bookmarkStart w:id="15"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jc w:val="center"/>
        <w:outlineLvl w:val="0"/>
        <w:rPr>
          <w:rFonts w:hint="eastAsia"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Pr>
        <w:jc w:val="center"/>
        <w:outlineLvl w:val="0"/>
        <w:rPr>
          <w:rFonts w:hint="eastAsia" w:ascii="黑体" w:hAnsi="黑体" w:eastAsia="黑体" w:cs="黑体"/>
          <w:bCs/>
          <w:color w:val="000000" w:themeColor="text1"/>
          <w:sz w:val="28"/>
          <w:szCs w:val="28"/>
          <w14:textFill>
            <w14:solidFill>
              <w14:schemeClr w14:val="tx1"/>
            </w14:solidFill>
          </w14:textFill>
        </w:rPr>
      </w:pPr>
    </w:p>
    <w:p>
      <w:pPr>
        <w:spacing w:line="360" w:lineRule="auto"/>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6"/>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noWrap w:val="0"/>
            <w:vAlign w:val="center"/>
          </w:tcPr>
          <w:p>
            <w:pPr>
              <w:pStyle w:val="11"/>
              <w:spacing w:line="400" w:lineRule="exact"/>
              <w:jc w:val="center"/>
              <w:rPr>
                <w:rFonts w:hint="eastAsia" w:ascii="黑体" w:hAnsi="黑体" w:eastAsia="黑体" w:cs="黑体"/>
                <w:bCs/>
                <w:color w:val="000000" w:themeColor="text1"/>
                <w:kern w:val="2"/>
                <w:sz w:val="24"/>
                <w:szCs w:val="24"/>
                <w:lang w:eastAsia="zh-CN"/>
                <w14:textFill>
                  <w14:solidFill>
                    <w14:schemeClr w14:val="tx1"/>
                  </w14:solidFill>
                </w14:textFill>
              </w:rPr>
            </w:pPr>
          </w:p>
        </w:tc>
        <w:tc>
          <w:tcPr>
            <w:tcW w:w="4515" w:type="dxa"/>
            <w:tcBorders>
              <w:top w:val="single" w:color="auto" w:sz="4" w:space="0"/>
              <w:left w:val="single" w:color="auto" w:sz="4" w:space="0"/>
              <w:bottom w:val="single" w:color="auto" w:sz="4" w:space="0"/>
              <w:right w:val="single" w:color="auto" w:sz="4" w:space="0"/>
            </w:tcBorders>
            <w:noWrap w:val="0"/>
            <w:vAlign w:val="center"/>
          </w:tcPr>
          <w:p>
            <w:pPr>
              <w:pStyle w:val="11"/>
              <w:rPr>
                <w:rFonts w:hint="eastAsia" w:ascii="黑体" w:hAnsi="黑体" w:eastAsia="黑体" w:cs="黑体"/>
                <w:b/>
                <w:color w:val="000000" w:themeColor="text1"/>
                <w:kern w:val="2"/>
                <w:szCs w:val="24"/>
                <w14:textFill>
                  <w14:solidFill>
                    <w14:schemeClr w14:val="tx1"/>
                  </w14:solidFill>
                </w14:textFill>
              </w:rPr>
            </w:pPr>
            <w:bookmarkStart w:id="23" w:name="_GoBack"/>
            <w:bookmarkEnd w:id="2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hint="eastAsia" w:ascii="黑体" w:hAnsi="黑体" w:eastAsia="黑体" w:cs="黑体"/>
          <w:bCs/>
          <w:color w:val="000000" w:themeColor="text1"/>
          <w:sz w:val="28"/>
          <w:szCs w:val="28"/>
          <w14:textFill>
            <w14:solidFill>
              <w14:schemeClr w14:val="tx1"/>
            </w14:solidFill>
          </w14:textFill>
        </w:rPr>
      </w:pPr>
      <w:bookmarkStart w:id="17"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outlineLvl w:val="0"/>
        <w:rPr>
          <w:rFonts w:hint="eastAsia" w:ascii="黑体" w:hAnsi="黑体" w:eastAsia="黑体" w:cs="黑体"/>
          <w:bCs/>
          <w:color w:val="000000" w:themeColor="text1"/>
          <w:sz w:val="28"/>
          <w:szCs w:val="28"/>
          <w14:textFill>
            <w14:solidFill>
              <w14:schemeClr w14:val="tx1"/>
            </w14:solidFill>
          </w14:textFill>
        </w:rPr>
      </w:pPr>
      <w:bookmarkStart w:id="18" w:name="_Toc534555672"/>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tbl>
      <w:tblPr>
        <w:tblStyle w:val="6"/>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337"/>
        <w:gridCol w:w="655"/>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noWrap w:val="0"/>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spacing w:before="5"/>
              <w:rPr>
                <w:rFonts w:hint="eastAsia" w:ascii="黑体" w:hAnsi="黑体" w:eastAsia="黑体" w:cs="黑体"/>
                <w:color w:val="000000" w:themeColor="text1"/>
                <w:lang w:val="en-US" w:eastAsia="zh-CN"/>
                <w14:textFill>
                  <w14:solidFill>
                    <w14:schemeClr w14:val="tx1"/>
                  </w14:solidFill>
                </w14:textFill>
              </w:rPr>
            </w:pPr>
            <w:r>
              <w:rPr>
                <w:rFonts w:hint="eastAsia" w:ascii="黑体" w:hAnsi="黑体" w:eastAsia="黑体" w:cs="黑体"/>
                <w:color w:val="000000" w:themeColor="text1"/>
                <w:lang w:val="en-US" w:eastAsia="zh-CN"/>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noWrap w:val="0"/>
            <w:vAlign w:val="center"/>
          </w:tcPr>
          <w:p>
            <w:pPr>
              <w:jc w:val="center"/>
              <w:rPr>
                <w:rFonts w:hint="eastAsia"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noWrap w:val="0"/>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4731"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5049" w:type="dxa"/>
            <w:gridSpan w:val="5"/>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outlineLvl w:val="0"/>
        <w:rPr>
          <w:rFonts w:hint="eastAsia" w:ascii="黑体" w:hAnsi="黑体" w:eastAsia="黑体" w:cs="黑体"/>
          <w:bCs/>
          <w:color w:val="000000" w:themeColor="text1"/>
          <w:sz w:val="28"/>
          <w:szCs w:val="28"/>
          <w14:textFill>
            <w14:solidFill>
              <w14:schemeClr w14:val="tx1"/>
            </w14:solidFill>
          </w14:textFill>
        </w:rPr>
      </w:pPr>
      <w:bookmarkStart w:id="19" w:name="_Toc534555673"/>
    </w:p>
    <w:p>
      <w:pPr>
        <w:spacing w:line="400" w:lineRule="exact"/>
        <w:jc w:val="center"/>
        <w:outlineLvl w:val="0"/>
        <w:rPr>
          <w:rFonts w:hint="eastAsia"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采购需求响应表</w:t>
      </w:r>
      <w:bookmarkEnd w:id="19"/>
    </w:p>
    <w:p>
      <w:pPr>
        <w:spacing w:line="400" w:lineRule="exact"/>
        <w:rPr>
          <w:rFonts w:hint="eastAsia" w:ascii="黑体" w:hAnsi="黑体" w:eastAsia="黑体" w:cs="黑体"/>
          <w:bCs/>
          <w:color w:val="000000" w:themeColor="text1"/>
          <w:sz w:val="24"/>
          <w:szCs w:val="24"/>
          <w14:textFill>
            <w14:solidFill>
              <w14:schemeClr w14:val="tx1"/>
            </w14:solidFill>
          </w14:textFill>
        </w:rPr>
      </w:pPr>
    </w:p>
    <w:tbl>
      <w:tblPr>
        <w:tblStyle w:val="6"/>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spacing w:before="5"/>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hint="eastAsia" w:ascii="黑体" w:hAnsi="黑体" w:eastAsia="黑体" w:cs="黑体"/>
                <w:bCs/>
                <w:color w:val="000000" w:themeColor="text1"/>
                <w:lang w:val="en-US" w:eastAsia="zh-CN"/>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noWrap w:val="0"/>
            <w:tcMar>
              <w:top w:w="15" w:type="dxa"/>
              <w:left w:w="15" w:type="dxa"/>
              <w:bottom w:w="0" w:type="dxa"/>
              <w:right w:w="15" w:type="dxa"/>
            </w:tcMar>
            <w:vAlign w:val="center"/>
          </w:tcPr>
          <w:p>
            <w:pPr>
              <w:rPr>
                <w:rFonts w:hint="eastAsia"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hint="eastAsia" w:ascii="黑体" w:hAnsi="黑体" w:eastAsia="黑体" w:cs="黑体"/>
                <w:b/>
                <w:bCs/>
                <w:color w:val="000000" w:themeColor="text1"/>
                <w:sz w:val="24"/>
                <w:szCs w:val="24"/>
                <w14:textFill>
                  <w14:solidFill>
                    <w14:schemeClr w14:val="tx1"/>
                  </w14:solidFill>
                </w14:textFill>
              </w:rPr>
            </w:pPr>
          </w:p>
        </w:tc>
      </w:tr>
    </w:tbl>
    <w:p>
      <w:pPr>
        <w:spacing w:line="400" w:lineRule="exact"/>
        <w:rPr>
          <w:rFonts w:hint="eastAsia" w:ascii="黑体" w:hAnsi="黑体" w:eastAsia="黑体" w:cs="黑体"/>
          <w:bCs/>
          <w:color w:val="000000" w:themeColor="text1"/>
          <w:sz w:val="24"/>
          <w:szCs w:val="24"/>
          <w:lang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w:t>
      </w:r>
    </w:p>
    <w:p>
      <w:pPr>
        <w:spacing w:before="5" w:line="560" w:lineRule="atLeast"/>
        <w:rPr>
          <w:rFonts w:hint="eastAsia"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outlineLvl w:val="0"/>
        <w:rPr>
          <w:rFonts w:hint="eastAsia"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outlineLvl w:val="0"/>
        <w:rPr>
          <w:rFonts w:hint="eastAsia"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outlineLvl w:val="0"/>
        <w:rPr>
          <w:rFonts w:hint="eastAsia"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rPr>
          <w:rFonts w:hint="eastAsia" w:ascii="黑体" w:hAnsi="黑体" w:eastAsia="黑体" w:cs="黑体"/>
          <w:color w:val="000000" w:themeColor="text1"/>
          <w:sz w:val="30"/>
          <w:szCs w:val="30"/>
          <w:lang w:val="en-US" w:eastAsia="zh-CN"/>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000000" w:themeColor="text1"/>
          <w:sz w:val="30"/>
          <w:szCs w:val="30"/>
          <w:lang w:val="en-US" w:eastAsia="zh-CN"/>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ΟGB2312">
    <w:altName w:val="宋体"/>
    <w:panose1 w:val="00000000000000000000"/>
    <w:charset w:val="86"/>
    <w:family w:val="auto"/>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xNmRhODIyNjBmOTI2ODNhOGY4ZjFlYzkxMTk2ODcifQ=="/>
  </w:docVars>
  <w:rsids>
    <w:rsidRoot w:val="2BAE7DC9"/>
    <w:rsid w:val="00092509"/>
    <w:rsid w:val="00BB4BAD"/>
    <w:rsid w:val="00C52FC0"/>
    <w:rsid w:val="010603B8"/>
    <w:rsid w:val="015B3238"/>
    <w:rsid w:val="016278A5"/>
    <w:rsid w:val="01A47274"/>
    <w:rsid w:val="01B43460"/>
    <w:rsid w:val="01FB0577"/>
    <w:rsid w:val="01FF774D"/>
    <w:rsid w:val="021C0046"/>
    <w:rsid w:val="02600065"/>
    <w:rsid w:val="028265A2"/>
    <w:rsid w:val="02916808"/>
    <w:rsid w:val="02933CF1"/>
    <w:rsid w:val="02AA088B"/>
    <w:rsid w:val="02F2129E"/>
    <w:rsid w:val="032B1BE2"/>
    <w:rsid w:val="03532830"/>
    <w:rsid w:val="03741E07"/>
    <w:rsid w:val="038C6E0E"/>
    <w:rsid w:val="044B0AFE"/>
    <w:rsid w:val="04717719"/>
    <w:rsid w:val="04A24874"/>
    <w:rsid w:val="04AE367F"/>
    <w:rsid w:val="04E549D9"/>
    <w:rsid w:val="04F00CE2"/>
    <w:rsid w:val="05180BF9"/>
    <w:rsid w:val="05423654"/>
    <w:rsid w:val="05BE41B0"/>
    <w:rsid w:val="05DB66F5"/>
    <w:rsid w:val="0653437F"/>
    <w:rsid w:val="066D05E8"/>
    <w:rsid w:val="068B702E"/>
    <w:rsid w:val="06E32278"/>
    <w:rsid w:val="06F60EEA"/>
    <w:rsid w:val="06FE3AD0"/>
    <w:rsid w:val="0717563C"/>
    <w:rsid w:val="07305D00"/>
    <w:rsid w:val="08176F8E"/>
    <w:rsid w:val="08547E6E"/>
    <w:rsid w:val="08806BF3"/>
    <w:rsid w:val="088A442E"/>
    <w:rsid w:val="08BC37E6"/>
    <w:rsid w:val="08F32FBC"/>
    <w:rsid w:val="08F9299B"/>
    <w:rsid w:val="09257BCC"/>
    <w:rsid w:val="093C6FE3"/>
    <w:rsid w:val="098C6266"/>
    <w:rsid w:val="099F1652"/>
    <w:rsid w:val="09A45050"/>
    <w:rsid w:val="09EB2527"/>
    <w:rsid w:val="09F3749B"/>
    <w:rsid w:val="0A6B1393"/>
    <w:rsid w:val="0ACC61C5"/>
    <w:rsid w:val="0B07436C"/>
    <w:rsid w:val="0B317C40"/>
    <w:rsid w:val="0B5E5DFE"/>
    <w:rsid w:val="0B6F669C"/>
    <w:rsid w:val="0B7B2475"/>
    <w:rsid w:val="0BED6D00"/>
    <w:rsid w:val="0C0F52A2"/>
    <w:rsid w:val="0C1D2948"/>
    <w:rsid w:val="0CE57E5A"/>
    <w:rsid w:val="0D0C3638"/>
    <w:rsid w:val="0DC669D4"/>
    <w:rsid w:val="0DCA452C"/>
    <w:rsid w:val="0DE10621"/>
    <w:rsid w:val="0E09687B"/>
    <w:rsid w:val="0E53141C"/>
    <w:rsid w:val="0EA978B3"/>
    <w:rsid w:val="0EAB3E35"/>
    <w:rsid w:val="0EDF3D95"/>
    <w:rsid w:val="0F2774C7"/>
    <w:rsid w:val="0F3A4205"/>
    <w:rsid w:val="0F503CB0"/>
    <w:rsid w:val="0F5336EF"/>
    <w:rsid w:val="0FE54F1B"/>
    <w:rsid w:val="0FE60171"/>
    <w:rsid w:val="0FF4037D"/>
    <w:rsid w:val="0FFF39C6"/>
    <w:rsid w:val="10455129"/>
    <w:rsid w:val="1077526D"/>
    <w:rsid w:val="10B11D49"/>
    <w:rsid w:val="10BE733F"/>
    <w:rsid w:val="10C2298C"/>
    <w:rsid w:val="10DD30C0"/>
    <w:rsid w:val="11321CCC"/>
    <w:rsid w:val="12352A26"/>
    <w:rsid w:val="1285104A"/>
    <w:rsid w:val="12961C7E"/>
    <w:rsid w:val="12A52565"/>
    <w:rsid w:val="12D7480E"/>
    <w:rsid w:val="12DD2895"/>
    <w:rsid w:val="13A03FDE"/>
    <w:rsid w:val="13D12903"/>
    <w:rsid w:val="13EE0BF5"/>
    <w:rsid w:val="13F76773"/>
    <w:rsid w:val="140908D1"/>
    <w:rsid w:val="143407DB"/>
    <w:rsid w:val="152E1DCE"/>
    <w:rsid w:val="154047C7"/>
    <w:rsid w:val="164646ED"/>
    <w:rsid w:val="16973B64"/>
    <w:rsid w:val="176C7287"/>
    <w:rsid w:val="17DF4208"/>
    <w:rsid w:val="17F6345F"/>
    <w:rsid w:val="182C1AE5"/>
    <w:rsid w:val="184A3F75"/>
    <w:rsid w:val="187A755D"/>
    <w:rsid w:val="18831D69"/>
    <w:rsid w:val="188B1D38"/>
    <w:rsid w:val="18CD6858"/>
    <w:rsid w:val="18D25B24"/>
    <w:rsid w:val="18DB4B3E"/>
    <w:rsid w:val="194902DE"/>
    <w:rsid w:val="19491FB0"/>
    <w:rsid w:val="196E54EF"/>
    <w:rsid w:val="199A1428"/>
    <w:rsid w:val="19AC70AA"/>
    <w:rsid w:val="19D1529B"/>
    <w:rsid w:val="19F8741E"/>
    <w:rsid w:val="1A045DC3"/>
    <w:rsid w:val="1A4033B9"/>
    <w:rsid w:val="1A5C0D03"/>
    <w:rsid w:val="1A727520"/>
    <w:rsid w:val="1B0F559D"/>
    <w:rsid w:val="1BC44B51"/>
    <w:rsid w:val="1BC473FC"/>
    <w:rsid w:val="1BCC313F"/>
    <w:rsid w:val="1C8E6AFB"/>
    <w:rsid w:val="1CBD2259"/>
    <w:rsid w:val="1CD37A8D"/>
    <w:rsid w:val="1D364F15"/>
    <w:rsid w:val="1D3F17D1"/>
    <w:rsid w:val="1D970B80"/>
    <w:rsid w:val="1D9F21EE"/>
    <w:rsid w:val="1E4F3472"/>
    <w:rsid w:val="1EB7078B"/>
    <w:rsid w:val="1F001448"/>
    <w:rsid w:val="1F09438B"/>
    <w:rsid w:val="1FA346C9"/>
    <w:rsid w:val="1FDE2C12"/>
    <w:rsid w:val="20355085"/>
    <w:rsid w:val="20901FD7"/>
    <w:rsid w:val="20A27562"/>
    <w:rsid w:val="20AC7BD8"/>
    <w:rsid w:val="20B827F2"/>
    <w:rsid w:val="20BC230A"/>
    <w:rsid w:val="21740DF9"/>
    <w:rsid w:val="218D705C"/>
    <w:rsid w:val="21CC1459"/>
    <w:rsid w:val="21D8575E"/>
    <w:rsid w:val="2207096E"/>
    <w:rsid w:val="2299783B"/>
    <w:rsid w:val="22BA120B"/>
    <w:rsid w:val="22E42C35"/>
    <w:rsid w:val="22FB1D2D"/>
    <w:rsid w:val="233A2407"/>
    <w:rsid w:val="2383154E"/>
    <w:rsid w:val="23860C42"/>
    <w:rsid w:val="239E5047"/>
    <w:rsid w:val="24294678"/>
    <w:rsid w:val="242D5F16"/>
    <w:rsid w:val="24845DF0"/>
    <w:rsid w:val="255816B9"/>
    <w:rsid w:val="256A49D2"/>
    <w:rsid w:val="26086C3B"/>
    <w:rsid w:val="26293F40"/>
    <w:rsid w:val="266A01AB"/>
    <w:rsid w:val="26901106"/>
    <w:rsid w:val="26DF400F"/>
    <w:rsid w:val="27257379"/>
    <w:rsid w:val="274574A6"/>
    <w:rsid w:val="274640EA"/>
    <w:rsid w:val="27C272BD"/>
    <w:rsid w:val="27EB1D1A"/>
    <w:rsid w:val="27F85949"/>
    <w:rsid w:val="28136AB9"/>
    <w:rsid w:val="283E401C"/>
    <w:rsid w:val="28682FE3"/>
    <w:rsid w:val="28F6721F"/>
    <w:rsid w:val="29E07B6F"/>
    <w:rsid w:val="2A124972"/>
    <w:rsid w:val="2A253741"/>
    <w:rsid w:val="2A617E81"/>
    <w:rsid w:val="2A9A1E2C"/>
    <w:rsid w:val="2AA7448F"/>
    <w:rsid w:val="2AD215C5"/>
    <w:rsid w:val="2AED0E83"/>
    <w:rsid w:val="2B113A97"/>
    <w:rsid w:val="2B2006FF"/>
    <w:rsid w:val="2BAE7DC9"/>
    <w:rsid w:val="2BE53280"/>
    <w:rsid w:val="2C324A12"/>
    <w:rsid w:val="2C5D2581"/>
    <w:rsid w:val="2CFE66A2"/>
    <w:rsid w:val="2D530423"/>
    <w:rsid w:val="2D5F08EF"/>
    <w:rsid w:val="2D6F31C0"/>
    <w:rsid w:val="2DE0049D"/>
    <w:rsid w:val="2EA342C1"/>
    <w:rsid w:val="2EA634DC"/>
    <w:rsid w:val="2EBD369F"/>
    <w:rsid w:val="2ED20AEB"/>
    <w:rsid w:val="2FAA7085"/>
    <w:rsid w:val="301E1907"/>
    <w:rsid w:val="301E29CD"/>
    <w:rsid w:val="30725AAF"/>
    <w:rsid w:val="308710A4"/>
    <w:rsid w:val="30AD35D4"/>
    <w:rsid w:val="30C27406"/>
    <w:rsid w:val="30DA71DA"/>
    <w:rsid w:val="30E5758C"/>
    <w:rsid w:val="31097137"/>
    <w:rsid w:val="313461DC"/>
    <w:rsid w:val="3139239E"/>
    <w:rsid w:val="31692558"/>
    <w:rsid w:val="3173124F"/>
    <w:rsid w:val="31F86124"/>
    <w:rsid w:val="32425283"/>
    <w:rsid w:val="330C4BDB"/>
    <w:rsid w:val="335F3C12"/>
    <w:rsid w:val="33664FA1"/>
    <w:rsid w:val="33A2516B"/>
    <w:rsid w:val="3420663B"/>
    <w:rsid w:val="34BA5A7D"/>
    <w:rsid w:val="35431A3E"/>
    <w:rsid w:val="35432EF2"/>
    <w:rsid w:val="3569358A"/>
    <w:rsid w:val="359A7184"/>
    <w:rsid w:val="35CE72AF"/>
    <w:rsid w:val="361531EB"/>
    <w:rsid w:val="36462ACF"/>
    <w:rsid w:val="36767802"/>
    <w:rsid w:val="37031A7D"/>
    <w:rsid w:val="374F56CD"/>
    <w:rsid w:val="379239EA"/>
    <w:rsid w:val="37FC5A23"/>
    <w:rsid w:val="38397128"/>
    <w:rsid w:val="389600D6"/>
    <w:rsid w:val="38BA1B01"/>
    <w:rsid w:val="391E03F5"/>
    <w:rsid w:val="3A00289B"/>
    <w:rsid w:val="3A766297"/>
    <w:rsid w:val="3AD60C5E"/>
    <w:rsid w:val="3AFC42C0"/>
    <w:rsid w:val="3B180FBF"/>
    <w:rsid w:val="3BA00212"/>
    <w:rsid w:val="3BB40C45"/>
    <w:rsid w:val="3BB70A8F"/>
    <w:rsid w:val="3BBB240E"/>
    <w:rsid w:val="3BC839CB"/>
    <w:rsid w:val="3BE42C77"/>
    <w:rsid w:val="3C6224D2"/>
    <w:rsid w:val="3C8F071A"/>
    <w:rsid w:val="3C940F04"/>
    <w:rsid w:val="3D086B13"/>
    <w:rsid w:val="3D1A67AD"/>
    <w:rsid w:val="3D1C245F"/>
    <w:rsid w:val="3D456651"/>
    <w:rsid w:val="3DAA67EA"/>
    <w:rsid w:val="3DFE4381"/>
    <w:rsid w:val="3E2A0839"/>
    <w:rsid w:val="3EC15781"/>
    <w:rsid w:val="3EC1749A"/>
    <w:rsid w:val="3F2F723D"/>
    <w:rsid w:val="401E3772"/>
    <w:rsid w:val="40A84193"/>
    <w:rsid w:val="40C66D7C"/>
    <w:rsid w:val="40CD7D8B"/>
    <w:rsid w:val="40D03CF0"/>
    <w:rsid w:val="41274F71"/>
    <w:rsid w:val="413722F8"/>
    <w:rsid w:val="4162566B"/>
    <w:rsid w:val="41A3367B"/>
    <w:rsid w:val="41B93D8E"/>
    <w:rsid w:val="42E1242C"/>
    <w:rsid w:val="42E324BF"/>
    <w:rsid w:val="42FE5101"/>
    <w:rsid w:val="43632C82"/>
    <w:rsid w:val="439D6CA5"/>
    <w:rsid w:val="43B32386"/>
    <w:rsid w:val="43FC0159"/>
    <w:rsid w:val="441E71D2"/>
    <w:rsid w:val="445A54A3"/>
    <w:rsid w:val="446E5ABA"/>
    <w:rsid w:val="448D14FC"/>
    <w:rsid w:val="44A010D3"/>
    <w:rsid w:val="44C63EF6"/>
    <w:rsid w:val="450F2F4D"/>
    <w:rsid w:val="45120AE5"/>
    <w:rsid w:val="455C02BA"/>
    <w:rsid w:val="45974534"/>
    <w:rsid w:val="45C777DD"/>
    <w:rsid w:val="45D93CF8"/>
    <w:rsid w:val="460778FA"/>
    <w:rsid w:val="46157DE1"/>
    <w:rsid w:val="46390A32"/>
    <w:rsid w:val="47C17695"/>
    <w:rsid w:val="482853D0"/>
    <w:rsid w:val="484130D8"/>
    <w:rsid w:val="48724B6E"/>
    <w:rsid w:val="488419C4"/>
    <w:rsid w:val="48BA7693"/>
    <w:rsid w:val="48E1614C"/>
    <w:rsid w:val="495D2A63"/>
    <w:rsid w:val="4A196989"/>
    <w:rsid w:val="4A2B46A6"/>
    <w:rsid w:val="4A3437C8"/>
    <w:rsid w:val="4A413C1A"/>
    <w:rsid w:val="4A43504F"/>
    <w:rsid w:val="4A77471A"/>
    <w:rsid w:val="4A8325B4"/>
    <w:rsid w:val="4B0E61F2"/>
    <w:rsid w:val="4B2F5D46"/>
    <w:rsid w:val="4B61526B"/>
    <w:rsid w:val="4B8940AC"/>
    <w:rsid w:val="4B8C1837"/>
    <w:rsid w:val="4B8E5887"/>
    <w:rsid w:val="4C2B763A"/>
    <w:rsid w:val="4C653FA5"/>
    <w:rsid w:val="4C7A2F8A"/>
    <w:rsid w:val="4C9452B1"/>
    <w:rsid w:val="4CB4602F"/>
    <w:rsid w:val="4CC0037C"/>
    <w:rsid w:val="4CF46F70"/>
    <w:rsid w:val="4D573E80"/>
    <w:rsid w:val="4DD116C7"/>
    <w:rsid w:val="4E473EF5"/>
    <w:rsid w:val="4E9632DF"/>
    <w:rsid w:val="4EB073B6"/>
    <w:rsid w:val="4EC67983"/>
    <w:rsid w:val="4EE541A0"/>
    <w:rsid w:val="4FA15887"/>
    <w:rsid w:val="4FB335BE"/>
    <w:rsid w:val="503D45AF"/>
    <w:rsid w:val="50406E4E"/>
    <w:rsid w:val="50446212"/>
    <w:rsid w:val="50C94AC3"/>
    <w:rsid w:val="50E672C9"/>
    <w:rsid w:val="51234079"/>
    <w:rsid w:val="51424D29"/>
    <w:rsid w:val="514E4A3B"/>
    <w:rsid w:val="5157501E"/>
    <w:rsid w:val="51DF1C08"/>
    <w:rsid w:val="51F543D1"/>
    <w:rsid w:val="5203566E"/>
    <w:rsid w:val="52264A2A"/>
    <w:rsid w:val="5250558C"/>
    <w:rsid w:val="525577BF"/>
    <w:rsid w:val="52794DEA"/>
    <w:rsid w:val="52AE2E4B"/>
    <w:rsid w:val="532C7470"/>
    <w:rsid w:val="534D3630"/>
    <w:rsid w:val="53867E18"/>
    <w:rsid w:val="53EC1512"/>
    <w:rsid w:val="54190C98"/>
    <w:rsid w:val="543F2BCC"/>
    <w:rsid w:val="54E3272C"/>
    <w:rsid w:val="54EC3C83"/>
    <w:rsid w:val="552E6535"/>
    <w:rsid w:val="555A19FA"/>
    <w:rsid w:val="55867F89"/>
    <w:rsid w:val="558C6E64"/>
    <w:rsid w:val="559C2735"/>
    <w:rsid w:val="55A37825"/>
    <w:rsid w:val="561F12B3"/>
    <w:rsid w:val="56A342BF"/>
    <w:rsid w:val="56B539C6"/>
    <w:rsid w:val="570D735E"/>
    <w:rsid w:val="57567E33"/>
    <w:rsid w:val="57935C2B"/>
    <w:rsid w:val="57C57028"/>
    <w:rsid w:val="57CC4E98"/>
    <w:rsid w:val="57DD31D4"/>
    <w:rsid w:val="580F5323"/>
    <w:rsid w:val="584D2D67"/>
    <w:rsid w:val="585B1535"/>
    <w:rsid w:val="586104BF"/>
    <w:rsid w:val="58815BB6"/>
    <w:rsid w:val="59087B4F"/>
    <w:rsid w:val="591A6C49"/>
    <w:rsid w:val="5A017314"/>
    <w:rsid w:val="5A2300FE"/>
    <w:rsid w:val="5A3918D1"/>
    <w:rsid w:val="5A5257C7"/>
    <w:rsid w:val="5A912E85"/>
    <w:rsid w:val="5A9D30EE"/>
    <w:rsid w:val="5A9F4BAA"/>
    <w:rsid w:val="5AB520F6"/>
    <w:rsid w:val="5AC2519E"/>
    <w:rsid w:val="5ADD173D"/>
    <w:rsid w:val="5B114D75"/>
    <w:rsid w:val="5BA612DD"/>
    <w:rsid w:val="5BE65BED"/>
    <w:rsid w:val="5C4F45D9"/>
    <w:rsid w:val="5C592563"/>
    <w:rsid w:val="5C621EFA"/>
    <w:rsid w:val="5CB5143D"/>
    <w:rsid w:val="5CB6788F"/>
    <w:rsid w:val="5CFB2509"/>
    <w:rsid w:val="5D037698"/>
    <w:rsid w:val="5D5C4B9B"/>
    <w:rsid w:val="5D8977E8"/>
    <w:rsid w:val="5D8B5480"/>
    <w:rsid w:val="5DCA3BC2"/>
    <w:rsid w:val="5DCD3D84"/>
    <w:rsid w:val="5E156CE8"/>
    <w:rsid w:val="5E2C0A11"/>
    <w:rsid w:val="5E8819C0"/>
    <w:rsid w:val="5ECC6013"/>
    <w:rsid w:val="5EDF0D80"/>
    <w:rsid w:val="5EE66E12"/>
    <w:rsid w:val="5F0D3761"/>
    <w:rsid w:val="5F49412A"/>
    <w:rsid w:val="5FB507E3"/>
    <w:rsid w:val="5FFC560E"/>
    <w:rsid w:val="604D23A5"/>
    <w:rsid w:val="60522285"/>
    <w:rsid w:val="609A0B1D"/>
    <w:rsid w:val="60B71D43"/>
    <w:rsid w:val="61147F15"/>
    <w:rsid w:val="621C2B4B"/>
    <w:rsid w:val="6247394A"/>
    <w:rsid w:val="62D376AD"/>
    <w:rsid w:val="62E2326E"/>
    <w:rsid w:val="62F603F2"/>
    <w:rsid w:val="63084EA6"/>
    <w:rsid w:val="63377DBA"/>
    <w:rsid w:val="635C56E2"/>
    <w:rsid w:val="63676CF4"/>
    <w:rsid w:val="642F3009"/>
    <w:rsid w:val="64793D54"/>
    <w:rsid w:val="64846AFF"/>
    <w:rsid w:val="64896ACF"/>
    <w:rsid w:val="64A21A2D"/>
    <w:rsid w:val="65C21C5B"/>
    <w:rsid w:val="65C8066C"/>
    <w:rsid w:val="65F2282A"/>
    <w:rsid w:val="66003847"/>
    <w:rsid w:val="665D0DC8"/>
    <w:rsid w:val="66753360"/>
    <w:rsid w:val="670D06CD"/>
    <w:rsid w:val="672656D9"/>
    <w:rsid w:val="675954A1"/>
    <w:rsid w:val="67A665F9"/>
    <w:rsid w:val="67B05F5B"/>
    <w:rsid w:val="681B518D"/>
    <w:rsid w:val="68242684"/>
    <w:rsid w:val="68331AA0"/>
    <w:rsid w:val="686456D7"/>
    <w:rsid w:val="687C3BF5"/>
    <w:rsid w:val="688B0AA1"/>
    <w:rsid w:val="689C1C4D"/>
    <w:rsid w:val="68E237BF"/>
    <w:rsid w:val="68EF7CC2"/>
    <w:rsid w:val="696427A8"/>
    <w:rsid w:val="69860523"/>
    <w:rsid w:val="69926EB4"/>
    <w:rsid w:val="69C67D3B"/>
    <w:rsid w:val="6A4F3F74"/>
    <w:rsid w:val="6ADA4CF4"/>
    <w:rsid w:val="6AED45AA"/>
    <w:rsid w:val="6B167C88"/>
    <w:rsid w:val="6BD74428"/>
    <w:rsid w:val="6C6A54E0"/>
    <w:rsid w:val="6CC44C93"/>
    <w:rsid w:val="6D4249BD"/>
    <w:rsid w:val="6D5239D7"/>
    <w:rsid w:val="6DD76181"/>
    <w:rsid w:val="6DF77C1C"/>
    <w:rsid w:val="6E2C680B"/>
    <w:rsid w:val="6E354F33"/>
    <w:rsid w:val="6EB532F4"/>
    <w:rsid w:val="6EF14DCE"/>
    <w:rsid w:val="6FCD69DE"/>
    <w:rsid w:val="700D38BA"/>
    <w:rsid w:val="702A75CC"/>
    <w:rsid w:val="71A02026"/>
    <w:rsid w:val="71AA5D0F"/>
    <w:rsid w:val="71E5623C"/>
    <w:rsid w:val="722E5CA0"/>
    <w:rsid w:val="724F304C"/>
    <w:rsid w:val="725B71E8"/>
    <w:rsid w:val="72BA2638"/>
    <w:rsid w:val="72D03C09"/>
    <w:rsid w:val="73474106"/>
    <w:rsid w:val="73BE7F06"/>
    <w:rsid w:val="753535B8"/>
    <w:rsid w:val="758A339B"/>
    <w:rsid w:val="759060C1"/>
    <w:rsid w:val="75964A50"/>
    <w:rsid w:val="75C225F2"/>
    <w:rsid w:val="75D03F84"/>
    <w:rsid w:val="76200BCB"/>
    <w:rsid w:val="76292D9B"/>
    <w:rsid w:val="765E32DA"/>
    <w:rsid w:val="767C78F2"/>
    <w:rsid w:val="76A005BE"/>
    <w:rsid w:val="7743072A"/>
    <w:rsid w:val="77482DDB"/>
    <w:rsid w:val="7758279B"/>
    <w:rsid w:val="77E96D32"/>
    <w:rsid w:val="781406A8"/>
    <w:rsid w:val="784547D6"/>
    <w:rsid w:val="78463A7B"/>
    <w:rsid w:val="78D60608"/>
    <w:rsid w:val="78EC2E1F"/>
    <w:rsid w:val="793F2F4F"/>
    <w:rsid w:val="795175A4"/>
    <w:rsid w:val="798B24E5"/>
    <w:rsid w:val="79CF4DFE"/>
    <w:rsid w:val="7A141D64"/>
    <w:rsid w:val="7A2A1655"/>
    <w:rsid w:val="7A770D9F"/>
    <w:rsid w:val="7A7C01D3"/>
    <w:rsid w:val="7B0914F7"/>
    <w:rsid w:val="7B6E3FBF"/>
    <w:rsid w:val="7BF137BA"/>
    <w:rsid w:val="7C1102ED"/>
    <w:rsid w:val="7C1A7CA3"/>
    <w:rsid w:val="7CA23153"/>
    <w:rsid w:val="7CB21264"/>
    <w:rsid w:val="7CDF0622"/>
    <w:rsid w:val="7D313E4E"/>
    <w:rsid w:val="7D3717EE"/>
    <w:rsid w:val="7D4626E5"/>
    <w:rsid w:val="7D4E3432"/>
    <w:rsid w:val="7D5907B2"/>
    <w:rsid w:val="7DA83819"/>
    <w:rsid w:val="7DE87300"/>
    <w:rsid w:val="7E2F7976"/>
    <w:rsid w:val="7E7F44AE"/>
    <w:rsid w:val="7EAB1087"/>
    <w:rsid w:val="7EBC14E6"/>
    <w:rsid w:val="7EE724FF"/>
    <w:rsid w:val="7FE44850"/>
    <w:rsid w:val="7FF4717D"/>
    <w:rsid w:val="7FFE0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Note Heading"/>
    <w:basedOn w:val="1"/>
    <w:next w:val="1"/>
    <w:qFormat/>
    <w:uiPriority w:val="0"/>
    <w:pPr>
      <w:widowControl w:val="0"/>
      <w:spacing w:before="0" w:after="0" w:line="360" w:lineRule="auto"/>
      <w:ind w:left="0" w:right="0" w:firstLine="480"/>
      <w:jc w:val="center"/>
    </w:pPr>
    <w:rPr>
      <w:rFonts w:ascii="Times New Roman" w:hAnsi="Times New Roman" w:eastAsia="宋体" w:cs="Times New Roman"/>
      <w:kern w:val="2"/>
      <w:sz w:val="21"/>
      <w:szCs w:val="24"/>
      <w:lang w:val="zh-CN"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TML Typewriter"/>
    <w:qFormat/>
    <w:uiPriority w:val="0"/>
    <w:rPr>
      <w:rFonts w:ascii="宋体" w:hAnsi="宋体" w:eastAsia="宋体" w:cs="宋体"/>
      <w:sz w:val="24"/>
      <w:szCs w:val="24"/>
    </w:rPr>
  </w:style>
  <w:style w:type="character" w:styleId="10">
    <w:name w:val="Hyperlink"/>
    <w:unhideWhenUsed/>
    <w:qFormat/>
    <w:uiPriority w:val="99"/>
    <w:rPr>
      <w:color w:val="0000FF"/>
      <w:u w:val="single"/>
    </w:rPr>
  </w:style>
  <w:style w:type="paragraph" w:customStyle="1" w:styleId="11">
    <w:name w:val="普通文字"/>
    <w:basedOn w:val="1"/>
    <w:next w:val="1"/>
    <w:qFormat/>
    <w:uiPriority w:val="0"/>
    <w:rPr>
      <w:rFonts w:ascii="宋体" w:hAnsi="Times New Roman" w:eastAsia="宋体"/>
      <w:kern w:val="0"/>
      <w:sz w:val="24"/>
      <w:szCs w:val="20"/>
      <w:u w:val="none" w:color="000000"/>
    </w:rPr>
  </w:style>
  <w:style w:type="paragraph" w:styleId="12">
    <w:name w:val="List Paragraph"/>
    <w:basedOn w:val="1"/>
    <w:qFormat/>
    <w:uiPriority w:val="34"/>
    <w:pPr>
      <w:ind w:firstLine="420" w:firstLineChars="200"/>
    </w:pPr>
    <w:rPr>
      <w:rFonts w:ascii="Calibri" w:hAnsi="Calibri" w:eastAsia="宋体"/>
    </w:rPr>
  </w:style>
  <w:style w:type="paragraph" w:customStyle="1" w:styleId="13">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11766</Words>
  <Characters>12235</Characters>
  <Lines>0</Lines>
  <Paragraphs>0</Paragraphs>
  <TotalTime>1</TotalTime>
  <ScaleCrop>false</ScaleCrop>
  <LinksUpToDate>false</LinksUpToDate>
  <CharactersWithSpaces>12870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2021-01-01T13:46:00Z</dcterms:created>
  <dc:creator>永乐</dc:creator>
  <cp:lastModifiedBy>梁鑫晨</cp:lastModifiedBy>
  <dcterms:modified xsi:type="dcterms:W3CDTF">2022-06-23T09:14:48Z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KSOSaveFontToCloudKey">
    <vt:lpwstr>425223680_cloud</vt:lpwstr>
  </property>
  <property fmtid="{D5CDD505-2E9C-101B-9397-08002B2CF9AE}" pid="4" name="ICV">
    <vt:lpwstr>24F3C8FB1510464B81AA53B6186F8D6E</vt:lpwstr>
  </property>
</Properties>
</file>