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jc w:val="center"/>
        <w:rPr>
          <w:rFonts w:ascii="黑体" w:hAnsi="黑体" w:eastAsia="黑体" w:cs="黑体"/>
          <w:bCs/>
          <w:color w:val="000000" w:themeColor="text1"/>
          <w:spacing w:val="20"/>
          <w:sz w:val="52"/>
          <w:szCs w:val="52"/>
          <w14:textFill>
            <w14:solidFill>
              <w14:schemeClr w14:val="tx1"/>
            </w14:solidFill>
          </w14:textFill>
        </w:rPr>
      </w:pPr>
      <w:r>
        <w:rPr>
          <w:rFonts w:hint="eastAsia"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198120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L9/61wAAAAkBAAAP&#10;AAAAAAAAAAEAIAAAACIAAABkcnMvZG93bnJldi54bWxQSwECFAAUAAAACACHTuJA6OBJjeABAACy&#10;AwAADgAAAAAAAAABACAAAAAmAQAAZHJzL2Uyb0RvYy54bWxQSwUGAAAAAAYABgBZAQAAeA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rPr>
          <w:rFonts w:ascii="黑体" w:hAnsi="黑体" w:eastAsia="黑体" w:cs="黑体"/>
          <w:bCs/>
          <w:color w:val="000000" w:themeColor="text1"/>
          <w:sz w:val="30"/>
          <w14:textFill>
            <w14:solidFill>
              <w14:schemeClr w14:val="tx1"/>
            </w14:solidFill>
          </w14:textFill>
        </w:rPr>
      </w:pPr>
    </w:p>
    <w:p>
      <w:pPr>
        <w:tabs>
          <w:tab w:val="left" w:pos="9921"/>
        </w:tabs>
        <w:jc w:val="center"/>
        <w:rPr>
          <w:rFonts w:ascii="黑体" w:hAnsi="黑体" w:eastAsia="黑体" w:cs="黑体"/>
          <w:bCs/>
          <w:color w:val="000000" w:themeColor="text1"/>
          <w:sz w:val="30"/>
          <w14:textFill>
            <w14:solidFill>
              <w14:schemeClr w14:val="tx1"/>
            </w14:solidFill>
          </w14:textFill>
        </w:rPr>
      </w:pPr>
    </w:p>
    <w:p>
      <w:pPr>
        <w:jc w:val="left"/>
        <w:rPr>
          <w:rFonts w:ascii="黑体" w:hAnsi="黑体" w:eastAsia="黑体" w:cs="黑体"/>
          <w:bCs/>
          <w:color w:val="000000" w:themeColor="text1"/>
          <w:sz w:val="30"/>
          <w14:textFill>
            <w14:solidFill>
              <w14:schemeClr w14:val="tx1"/>
            </w14:solidFill>
          </w14:textFill>
        </w:rPr>
      </w:pP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采购项目编号：TZZFBJC2022001</w:t>
      </w: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采购项目名称：2022年泰州市政府网站群季度监测服务</w:t>
      </w:r>
    </w:p>
    <w:p>
      <w:pPr>
        <w:ind w:left="1470" w:leftChars="70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采购人：泰州市人民政府办公室</w:t>
      </w: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二〇二二年</w:t>
      </w:r>
      <w:r>
        <w:rPr>
          <w:rFonts w:hint="eastAsia" w:ascii="黑体" w:hAnsi="黑体" w:eastAsia="黑体" w:cs="黑体"/>
          <w:color w:val="000000" w:themeColor="text1"/>
          <w:sz w:val="30"/>
          <w:szCs w:val="30"/>
          <w:lang w:eastAsia="zh-CN"/>
          <w14:textFill>
            <w14:solidFill>
              <w14:schemeClr w14:val="tx1"/>
            </w14:solidFill>
          </w14:textFill>
        </w:rPr>
        <w:t>四</w:t>
      </w:r>
      <w:r>
        <w:rPr>
          <w:rFonts w:hint="eastAsia" w:ascii="黑体" w:hAnsi="黑体" w:eastAsia="黑体" w:cs="黑体"/>
          <w:color w:val="000000" w:themeColor="text1"/>
          <w:sz w:val="30"/>
          <w:szCs w:val="30"/>
          <w14:textFill>
            <w14:solidFill>
              <w14:schemeClr w14:val="tx1"/>
            </w14:solidFill>
          </w14:textFill>
        </w:rPr>
        <w:t>月</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2880" w:firstLineChars="600"/>
        <w:rPr>
          <w:rFonts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rPr>
          <w:rFonts w:ascii="黑体" w:hAnsi="黑体" w:eastAsia="黑体" w:cs="黑体"/>
          <w:bCs/>
          <w:color w:val="000000" w:themeColor="text1"/>
          <w:sz w:val="48"/>
          <w14:textFill>
            <w14:solidFill>
              <w14:schemeClr w14:val="tx1"/>
            </w14:solidFill>
          </w14:textFill>
        </w:rPr>
      </w:pPr>
    </w:p>
    <w:p>
      <w:pPr>
        <w:rPr>
          <w:rFonts w:ascii="黑体" w:hAnsi="黑体" w:eastAsia="黑体" w:cs="黑体"/>
          <w:bCs/>
          <w:color w:val="000000" w:themeColor="text1"/>
          <w:sz w:val="48"/>
          <w14:textFill>
            <w14:solidFill>
              <w14:schemeClr w14:val="tx1"/>
            </w14:solidFill>
          </w14:textFill>
        </w:rPr>
      </w:pPr>
    </w:p>
    <w:p>
      <w:pPr>
        <w:numPr>
          <w:ilvl w:val="0"/>
          <w:numId w:val="1"/>
        </w:numPr>
        <w:ind w:left="958" w:hanging="958"/>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磋商邀请函</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供应商须知</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一．磋商邀请函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我单位对2022年泰州市政府网站群季度监测服务项目进行竞争性磋商采购，欢迎符合相关条件的供应商参加磋商并提请注意下列相关事项：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（一）采购项目信息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1.项目名称：2022年泰州市政府网站群季度监测服务</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2.项目编号：</w:t>
      </w:r>
      <w:r>
        <w:rPr>
          <w:rFonts w:hint="eastAsia" w:ascii="黑体" w:hAnsi="黑体" w:eastAsia="黑体" w:cs="黑体"/>
          <w:bCs/>
          <w:color w:val="000000" w:themeColor="text1"/>
          <w:sz w:val="30"/>
          <w:szCs w:val="30"/>
          <w14:textFill>
            <w14:solidFill>
              <w14:schemeClr w14:val="tx1"/>
            </w14:solidFill>
          </w14:textFill>
        </w:rPr>
        <w:t>TZZFBJC2022001</w:t>
      </w:r>
    </w:p>
    <w:p>
      <w:pPr>
        <w:ind w:firstLine="600" w:firstLineChars="2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3.项目预算：26万元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4.采购方式：竞争性磋商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5.采购人：泰州市人民政府办公室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（二）供应商资格要求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1.具备《中华人民共和国政府采购法》第二十二条第一款规定的条件；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2.未被“信用中国”网站（www.creditchina.gov.cn）列入失信执行人、重大税收违法案件当事人名单、政府采购严重违法失信行为记录名单；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3.具备采购人根据采购项目的特殊要求规定的以下特定条件：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4.不接受联合体投标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（三）磋商时间、地点   </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磋商文件接收开始时间：2022年</w:t>
      </w:r>
      <w:r>
        <w:rPr>
          <w:rFonts w:hint="eastAsia" w:ascii="黑体" w:hAnsi="黑体" w:eastAsia="黑体" w:cs="黑体"/>
          <w:color w:val="000000" w:themeColor="text1"/>
          <w:sz w:val="28"/>
          <w:szCs w:val="28"/>
          <w:lang w:val="en-US" w:eastAsia="zh-CN"/>
          <w14:textFill>
            <w14:solidFill>
              <w14:schemeClr w14:val="tx1"/>
            </w14:solidFill>
          </w14:textFill>
        </w:rPr>
        <w:t>4</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18</w:t>
      </w:r>
      <w:r>
        <w:rPr>
          <w:rFonts w:hint="eastAsia" w:ascii="黑体" w:hAnsi="黑体" w:eastAsia="黑体" w:cs="黑体"/>
          <w:color w:val="000000" w:themeColor="text1"/>
          <w:sz w:val="28"/>
          <w:szCs w:val="28"/>
          <w14:textFill>
            <w14:solidFill>
              <w14:schemeClr w14:val="tx1"/>
            </w14:solidFill>
          </w14:textFill>
        </w:rPr>
        <w:t xml:space="preserve">日 </w:t>
      </w:r>
      <w:r>
        <w:rPr>
          <w:rFonts w:hint="eastAsia" w:ascii="黑体" w:hAnsi="黑体" w:eastAsia="黑体" w:cs="黑体"/>
          <w:color w:val="000000" w:themeColor="text1"/>
          <w:sz w:val="28"/>
          <w:szCs w:val="28"/>
          <w:lang w:val="en-US" w:eastAsia="zh-CN"/>
          <w14:textFill>
            <w14:solidFill>
              <w14:schemeClr w14:val="tx1"/>
            </w14:solidFill>
          </w14:textFill>
        </w:rPr>
        <w:t>9</w:t>
      </w:r>
      <w:r>
        <w:rPr>
          <w:rFonts w:hint="eastAsia" w:ascii="黑体" w:hAnsi="黑体" w:eastAsia="黑体" w:cs="黑体"/>
          <w:color w:val="000000" w:themeColor="text1"/>
          <w:sz w:val="28"/>
          <w:szCs w:val="28"/>
          <w14:textFill>
            <w14:solidFill>
              <w14:schemeClr w14:val="tx1"/>
            </w14:solidFill>
          </w14:textFill>
        </w:rPr>
        <w:t>:00</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磋商文件接收截止时间：2022年</w:t>
      </w:r>
      <w:r>
        <w:rPr>
          <w:rFonts w:hint="eastAsia" w:ascii="黑体" w:hAnsi="黑体" w:eastAsia="黑体" w:cs="黑体"/>
          <w:color w:val="000000" w:themeColor="text1"/>
          <w:sz w:val="28"/>
          <w:szCs w:val="28"/>
          <w:lang w:val="en-US" w:eastAsia="zh-CN"/>
          <w14:textFill>
            <w14:solidFill>
              <w14:schemeClr w14:val="tx1"/>
            </w14:solidFill>
          </w14:textFill>
        </w:rPr>
        <w:t>4</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18</w:t>
      </w:r>
      <w:r>
        <w:rPr>
          <w:rFonts w:hint="eastAsia" w:ascii="黑体" w:hAnsi="黑体" w:eastAsia="黑体" w:cs="黑体"/>
          <w:color w:val="000000" w:themeColor="text1"/>
          <w:sz w:val="28"/>
          <w:szCs w:val="28"/>
          <w14:textFill>
            <w14:solidFill>
              <w14:schemeClr w14:val="tx1"/>
            </w14:solidFill>
          </w14:textFill>
        </w:rPr>
        <w:t xml:space="preserve">日 </w:t>
      </w:r>
      <w:r>
        <w:rPr>
          <w:rFonts w:hint="eastAsia" w:ascii="黑体" w:hAnsi="黑体" w:eastAsia="黑体" w:cs="黑体"/>
          <w:color w:val="000000" w:themeColor="text1"/>
          <w:sz w:val="28"/>
          <w:szCs w:val="28"/>
          <w:lang w:val="en-US" w:eastAsia="zh-CN"/>
          <w14:textFill>
            <w14:solidFill>
              <w14:schemeClr w14:val="tx1"/>
            </w14:solidFill>
          </w14:textFill>
        </w:rPr>
        <w:t>9</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val="en-US" w:eastAsia="zh-CN"/>
          <w14:textFill>
            <w14:solidFill>
              <w14:schemeClr w14:val="tx1"/>
            </w14:solidFill>
          </w14:textFill>
        </w:rPr>
        <w:t>3</w:t>
      </w:r>
      <w:r>
        <w:rPr>
          <w:rFonts w:hint="eastAsia" w:ascii="黑体" w:hAnsi="黑体" w:eastAsia="黑体" w:cs="黑体"/>
          <w:color w:val="000000" w:themeColor="text1"/>
          <w:sz w:val="28"/>
          <w:szCs w:val="28"/>
          <w14:textFill>
            <w14:solidFill>
              <w14:schemeClr w14:val="tx1"/>
            </w14:solidFill>
          </w14:textFill>
        </w:rPr>
        <w:t>0</w:t>
      </w:r>
      <w:r>
        <w:rPr>
          <w:rFonts w:hint="eastAsia" w:ascii="黑体" w:hAnsi="黑体" w:eastAsia="黑体" w:cs="黑体"/>
          <w:color w:val="000000" w:themeColor="text1"/>
          <w:sz w:val="28"/>
          <w:szCs w:val="28"/>
          <w14:textFill>
            <w14:solidFill>
              <w14:schemeClr w14:val="tx1"/>
            </w14:solidFill>
          </w14:textFill>
        </w:rPr>
        <w:t>，磋商截止时间后的磋商文件恕不接受</w:t>
      </w:r>
    </w:p>
    <w:p>
      <w:pPr>
        <w:ind w:firstLine="560" w:firstLineChars="200"/>
        <w:rPr>
          <w:rFonts w:hint="eastAsia" w:ascii="黑体" w:hAnsi="黑体" w:eastAsia="黑体" w:cs="黑体"/>
          <w:color w:val="FF0000"/>
          <w:sz w:val="28"/>
          <w:szCs w:val="28"/>
        </w:rPr>
      </w:pPr>
      <w:r>
        <w:rPr>
          <w:rFonts w:hint="eastAsia" w:ascii="黑体" w:hAnsi="黑体" w:eastAsia="黑体" w:cs="黑体"/>
          <w:color w:val="000000" w:themeColor="text1"/>
          <w:sz w:val="28"/>
          <w:szCs w:val="28"/>
          <w14:textFill>
            <w14:solidFill>
              <w14:schemeClr w14:val="tx1"/>
            </w14:solidFill>
          </w14:textFill>
        </w:rPr>
        <w:t>磋商文件接收地点：泰州市</w:t>
      </w:r>
      <w:r>
        <w:rPr>
          <w:rFonts w:hint="eastAsia" w:ascii="黑体" w:hAnsi="黑体" w:eastAsia="黑体" w:cs="黑体"/>
          <w:color w:val="000000" w:themeColor="text1"/>
          <w:sz w:val="28"/>
          <w:szCs w:val="28"/>
          <w:lang w:eastAsia="zh-CN"/>
          <w14:textFill>
            <w14:solidFill>
              <w14:schemeClr w14:val="tx1"/>
            </w14:solidFill>
          </w14:textFill>
        </w:rPr>
        <w:t>机关大院</w:t>
      </w:r>
      <w:r>
        <w:rPr>
          <w:rFonts w:hint="eastAsia" w:ascii="黑体" w:hAnsi="黑体" w:eastAsia="黑体" w:cs="黑体"/>
          <w:color w:val="000000" w:themeColor="text1"/>
          <w:sz w:val="28"/>
          <w:szCs w:val="28"/>
          <w14:textFill>
            <w14:solidFill>
              <w14:schemeClr w14:val="tx1"/>
            </w14:solidFill>
          </w14:textFill>
        </w:rPr>
        <w:t>（泰州市海陵区</w:t>
      </w:r>
      <w:r>
        <w:rPr>
          <w:rFonts w:hint="eastAsia" w:ascii="黑体" w:hAnsi="黑体" w:eastAsia="黑体" w:cs="黑体"/>
          <w:color w:val="000000" w:themeColor="text1"/>
          <w:sz w:val="28"/>
          <w:szCs w:val="28"/>
          <w:lang w:eastAsia="zh-CN"/>
          <w14:textFill>
            <w14:solidFill>
              <w14:schemeClr w14:val="tx1"/>
            </w14:solidFill>
          </w14:textFill>
        </w:rPr>
        <w:t>凤凰东路</w:t>
      </w:r>
      <w:r>
        <w:rPr>
          <w:rFonts w:hint="eastAsia" w:ascii="黑体" w:hAnsi="黑体" w:eastAsia="黑体" w:cs="黑体"/>
          <w:color w:val="000000" w:themeColor="text1"/>
          <w:sz w:val="28"/>
          <w:szCs w:val="28"/>
          <w:lang w:val="en-US" w:eastAsia="zh-CN"/>
          <w14:textFill>
            <w14:solidFill>
              <w14:schemeClr w14:val="tx1"/>
            </w14:solidFill>
          </w14:textFill>
        </w:rPr>
        <w:t>58号</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eastAsia="zh-CN"/>
          <w14:textFill>
            <w14:solidFill>
              <w14:schemeClr w14:val="tx1"/>
            </w14:solidFill>
          </w14:textFill>
        </w:rPr>
        <w:t>主楼二楼中间会议室。</w:t>
      </w:r>
      <w:bookmarkStart w:id="23" w:name="_GoBack"/>
      <w:bookmarkEnd w:id="23"/>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（四）响应文件份数：响应文件一式三份，其中正本一份，副本二份。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（五）磋商有效期：磋商之日起90天</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（六）其它</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w:t>
      </w:r>
      <w:r>
        <w:rPr>
          <w:rFonts w:hint="eastAsia" w:ascii="黑体" w:hAnsi="黑体" w:eastAsia="黑体" w:cs="黑体"/>
          <w:color w:val="000000" w:themeColor="text1"/>
          <w:sz w:val="28"/>
          <w:szCs w:val="28"/>
          <w:lang w:eastAsia="zh-CN"/>
          <w14:textFill>
            <w14:solidFill>
              <w14:schemeClr w14:val="tx1"/>
            </w14:solidFill>
          </w14:textFill>
        </w:rPr>
        <w:t>梁</w:t>
      </w:r>
      <w:r>
        <w:rPr>
          <w:rFonts w:hint="eastAsia" w:ascii="黑体" w:hAnsi="黑体" w:eastAsia="黑体" w:cs="黑体"/>
          <w:color w:val="000000" w:themeColor="text1"/>
          <w:sz w:val="28"/>
          <w:szCs w:val="28"/>
          <w14:textFill>
            <w14:solidFill>
              <w14:schemeClr w14:val="tx1"/>
            </w14:solidFill>
          </w14:textFill>
        </w:rPr>
        <w:t>先生 电话：0523-86839</w:t>
      </w:r>
      <w:r>
        <w:rPr>
          <w:rFonts w:hint="eastAsia" w:ascii="黑体" w:hAnsi="黑体" w:eastAsia="黑体" w:cs="黑体"/>
          <w:color w:val="000000" w:themeColor="text1"/>
          <w:sz w:val="28"/>
          <w:szCs w:val="28"/>
          <w:lang w:val="en-US" w:eastAsia="zh-CN"/>
          <w14:textFill>
            <w14:solidFill>
              <w14:schemeClr w14:val="tx1"/>
            </w14:solidFill>
          </w14:textFill>
        </w:rPr>
        <w:t>100</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600" w:firstLineChars="200"/>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二．供应商须知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（一）遵循原则：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公开透明原则、公平竞争原则、公正原则和诚实信用原则。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（二）采购文件：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1、采购文件包括本文件目录所列全部内容，供应商应仔细阅读，并在响应文件中充分响应采购文件的所有要求。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2、采购文件中的“法定代表人”是指供应商的营业执照或相关部门的登记证明文件中的“法定代表人”或“负责人”。</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4、采购文件仅作为本次磋商使用。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 采购文件的解释：</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本文件的最终解释权归泰州市人民政府办公室。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（四） 采购文件的补充或修正：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1、在磋商截止时间5日前泰州市人民政府办公室可对采购文件进行必要的澄清或者修改，不足5日的，将顺延提交响应文件的截止时间。</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如需对采购文件进行补充或修正，泰州市人民政府办公室将在泰州市政府门户网站发布更正公告,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ind w:firstLine="560" w:firstLineChars="200"/>
        <w:outlineLvl w:val="1"/>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 响应文件的组成：</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2、资格、资信证明文件：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（1）关于资格的声明函（格式见附件）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（2）具有独立承担民事责任能力的供应商营业执照或相关部门的登记证明文件复印件；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（3）供应商法定代表人授权委托书（格式见附件，法定代表人亲自参加磋商的除外）；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（4）供应商法定代表人身份证复印件；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（5）供应商法定代表人授权代表身份证复印件（法定代表人亲自参加磋商的除外）；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（6）供应商近三个月中任意一个月份(不含磋商当月) 的财务状况报告（资产负债表和利润表）或由会计师事务所出具的近两年中任意一个年度的审计报告和所附已审财务报告复印件；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（7）供应商近三个月中任意一个月份(不含磋商当月) 的依法缴纳税收的相关材料（提供相关主管部门证明或银行代扣证明）复印件；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（8）供应商近三个月中任意一个月份(不含磋商当月)的依法缴纳社会保障资金的相关材料（提供相关主管部门证明或银行代扣证明）复印件；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（9）承诺书（格式见附件）；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（10）采购人要求的特定资质证明复印件（详见“磋商邀请函”-“供应商资格要求”之3中要求）。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3、报价一览表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4、明细报价及采购需求响应表（格式见附件）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5、评分标准中对应的其它所需证明材料（如有自行添加）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6、要求采购人提供的配合（如有自拟并自行添加）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7、其它（供应商认为有必要提供的声明和文件，如有自拟并自行添加）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 响应文件的制作：</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1、所有文件、往来函件均应使用简体中文（规格、型号辅助符号例外）。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3、如无特别说明，供应商参与磋商一律以人民币为结算货币,结算单位为“元”。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4、响应文件应用不褪色的墨水书写或打印。</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5、响应文件应按照“响应文件的组成”顺序制作，并编制目录、页码，装订成册。</w:t>
      </w:r>
    </w:p>
    <w:p>
      <w:pPr>
        <w:ind w:firstLine="562" w:firstLineChars="200"/>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6、响应文件一式三份，其中正本一份，副本二份，并注明“正本”、“副本”字样，密封，同时注明项目名称及编号并加盖公章。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7、响应文件不应有涂改、增删和潦草之处，如有必须修改时，修改处必须有供应商盖章、法定代表人或法定代表人授权代表的签字。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8、磋商费用自理。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（七） 无效响应文件的确认：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供应商有下列情况之一者，其响应文件无效：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1、响应文件未按规定的期限、地点送达的；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2、响应文件未按要求密封、签署、盖章的；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3、供应商的法定代表人或法定代表人授权代表，未准时参加磋商会议的；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4、供应商的法定代表人授权代表，无法定代表人授权委托书的；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5、不具备采购文件中规定的资格要求或未按采购文件规定的要求提供资格、资信证明文件的；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6、被“信用中国”网站（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"http://www.creditchina.gov.cn"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）列入失信执行人、重大税收违法案件当事人名单、政府采购严重违法失信行为记录名单的；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7、响应文件未按采购文件规定的内容和要求填写的；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8、响应文件书写潦草、字迹模糊不清、无法辨认的；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9、响应文件中有采购文件未允许提供的选择性内容的；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10、不同供应商委托同一单位或者个人办理磋商事宜的；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11、不同供应商的单位负责人为同一人或者存在直接控股、管理关系的；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15、项目（标段）总报价超过本项目（标段）预算或最高限价的；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16、提供虚假材料的（包括工商营业执照、财务报表、资格证明文件等）；</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17、磋商小组认定供应商报价明显不合理，有可能影响商品质量和不能诚信履约的；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18、除单一来源采购项目外，为采购项目提供整体设计、规范编制或者项目管理、监理、检测等服务的；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19、响应文件内容不全或不符合采购文件中规定的其它实质性要求的；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20、法律法规和采购文件规定的其它无效情形。</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0" w:name="_Toc534555652"/>
      <w:r>
        <w:rPr>
          <w:rFonts w:hint="eastAsia" w:ascii="黑体" w:hAnsi="黑体" w:eastAsia="黑体" w:cs="黑体"/>
          <w:color w:val="000000" w:themeColor="text1"/>
          <w:sz w:val="28"/>
          <w:szCs w:val="28"/>
          <w14:textFill>
            <w14:solidFill>
              <w14:schemeClr w14:val="tx1"/>
            </w14:solidFill>
          </w14:textFill>
        </w:rPr>
        <w:t>（八） 磋商、评审：</w:t>
      </w:r>
      <w:bookmarkEnd w:id="0"/>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磋商、评审工作由泰州市人民政府办公室负责组织。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具体磋商、评审事务由依法组建的磋商小组负责。如有争议最终由磋商小组认定。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1、响应文件的审查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（1）报价一览表内容与明细表内容不一致的，以报价一览表为准。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（2）正本与副本不符，以正本为准。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2、磋商、评审程序</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（1）响应文件初审。初审分为资格性检查和符合性检查。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①资格性检查。依据法律法规和采购文件的规定，对响应文件中的资格证明等进行审查；通过“信用中国”网站（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"http://www.creditchina.gov.cn"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（3）磋商小组讨论、确定磋商程序和磋商内容。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（4）磋商小组集中与单一供应商分别进行磋商。磋商轮次由磋商小组视情况决定。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 评审方法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通过初审和磋商，并提交最后报价的供应商，可进入综合评分阶段。</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 评分标准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详见附件。</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1" w:name="_Toc534555653"/>
      <w:r>
        <w:rPr>
          <w:rFonts w:hint="eastAsia" w:ascii="黑体" w:hAnsi="黑体" w:eastAsia="黑体" w:cs="黑体"/>
          <w:color w:val="000000" w:themeColor="text1"/>
          <w:sz w:val="28"/>
          <w:szCs w:val="28"/>
          <w14:textFill>
            <w14:solidFill>
              <w14:schemeClr w14:val="tx1"/>
            </w14:solidFill>
          </w14:textFill>
        </w:rPr>
        <w:t>（九） 确定成交供应商：</w:t>
      </w:r>
      <w:bookmarkEnd w:id="1"/>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1、磋商小组根据采购文件规定的评审方法和评分标准进行评审，按采购文件的要求依法确定成交供应商。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"http://download.ccgp.gov.cn/2018/zhiyihanfanben.zip" \t "_blank"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政府采购供应商质疑函范本</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3、泰州市人民政府办公室向成交方发成交通知书。</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2" w:name="_Toc534555654"/>
      <w:r>
        <w:rPr>
          <w:rFonts w:hint="eastAsia" w:ascii="黑体" w:hAnsi="黑体" w:eastAsia="黑体" w:cs="黑体"/>
          <w:color w:val="000000" w:themeColor="text1"/>
          <w:sz w:val="28"/>
          <w:szCs w:val="28"/>
          <w14:textFill>
            <w14:solidFill>
              <w14:schemeClr w14:val="tx1"/>
            </w14:solidFill>
          </w14:textFill>
        </w:rPr>
        <w:t>（十）采购终止：</w:t>
      </w:r>
      <w:bookmarkEnd w:id="2"/>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在竞争性磋商采购中，出现下列情况之一的，本次采购活动终止：</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1、因情况变化，不再符合规定的竞争性磋商采购方式适用情形的；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2、出现影响采购公正的违法、违规行为的；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4、在采购活动中因重大变故，采购任务取消的。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3" w:name="_Toc534555655"/>
      <w:r>
        <w:rPr>
          <w:rFonts w:hint="eastAsia" w:ascii="黑体" w:hAnsi="黑体" w:eastAsia="黑体" w:cs="黑体"/>
          <w:color w:val="000000" w:themeColor="text1"/>
          <w:sz w:val="28"/>
          <w:szCs w:val="28"/>
          <w14:textFill>
            <w14:solidFill>
              <w14:schemeClr w14:val="tx1"/>
            </w14:solidFill>
          </w14:textFill>
        </w:rPr>
        <w:t>（十一）</w:t>
      </w:r>
      <w:bookmarkEnd w:id="3"/>
      <w:r>
        <w:rPr>
          <w:rFonts w:hint="eastAsia" w:ascii="黑体" w:hAnsi="黑体" w:eastAsia="黑体" w:cs="黑体"/>
          <w:color w:val="000000" w:themeColor="text1"/>
          <w:sz w:val="28"/>
          <w:szCs w:val="28"/>
          <w14:textFill>
            <w14:solidFill>
              <w14:schemeClr w14:val="tx1"/>
            </w14:solidFill>
          </w14:textFill>
        </w:rPr>
        <w:t>行政处罚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 成交供应商有下列情形之一的，必须限期改正，情节严重的，列入不良行为记录名单，在1至3年内禁止参加政府采购活动，并予以通报：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（1）未按照采购文件确定的事项签订政府采购合同，或者与采购人另行订立背离合同实质性内容的协议的；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（2）成交后无正当理由不与采购人签订合同的；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（3）拒绝履行合同义务的。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4" w:name="_Toc534555656"/>
      <w:r>
        <w:rPr>
          <w:rFonts w:hint="eastAsia" w:ascii="黑体" w:hAnsi="黑体" w:eastAsia="黑体" w:cs="黑体"/>
          <w:color w:val="000000" w:themeColor="text1"/>
          <w:sz w:val="28"/>
          <w:szCs w:val="28"/>
          <w14:textFill>
            <w14:solidFill>
              <w14:schemeClr w14:val="tx1"/>
            </w14:solidFill>
          </w14:textFill>
        </w:rPr>
        <w:t>（十二）签订、履行合同：</w:t>
      </w:r>
      <w:bookmarkEnd w:id="4"/>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5" w:name="_Toc534555657"/>
      <w:r>
        <w:rPr>
          <w:rFonts w:hint="eastAsia" w:ascii="黑体" w:hAnsi="黑体" w:eastAsia="黑体" w:cs="黑体"/>
          <w:color w:val="000000" w:themeColor="text1"/>
          <w:sz w:val="28"/>
          <w:szCs w:val="28"/>
          <w14:textFill>
            <w14:solidFill>
              <w14:schemeClr w14:val="tx1"/>
            </w14:solidFill>
          </w14:textFill>
        </w:rPr>
        <w:t>（十三）成交服务费：</w:t>
      </w:r>
      <w:bookmarkEnd w:id="5"/>
      <w:r>
        <w:rPr>
          <w:rFonts w:hint="eastAsia" w:ascii="黑体" w:hAnsi="黑体" w:eastAsia="黑体" w:cs="黑体"/>
          <w:color w:val="000000" w:themeColor="text1"/>
          <w:sz w:val="28"/>
          <w:szCs w:val="28"/>
          <w14:textFill>
            <w14:solidFill>
              <w14:schemeClr w14:val="tx1"/>
            </w14:solidFill>
          </w14:textFill>
        </w:rPr>
        <w:t>无。</w:t>
      </w:r>
      <w:bookmarkStart w:id="6" w:name="四．合同书"/>
      <w:bookmarkEnd w:id="6"/>
      <w:bookmarkStart w:id="7" w:name="三．项目技术配置和有关说明"/>
      <w:bookmarkEnd w:id="7"/>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三、项目技术要求与有关说明</w:t>
      </w:r>
    </w:p>
    <w:p>
      <w:pPr>
        <w:outlineLvl w:val="1"/>
        <w:rPr>
          <w:rFonts w:ascii="黑体" w:hAnsi="黑体" w:eastAsia="黑体" w:cs="宋体"/>
          <w:color w:val="000000" w:themeColor="text1"/>
          <w:kern w:val="0"/>
          <w:sz w:val="28"/>
          <w:szCs w:val="28"/>
          <w14:textFill>
            <w14:solidFill>
              <w14:schemeClr w14:val="tx1"/>
            </w14:solidFill>
          </w14:textFill>
        </w:rPr>
      </w:pPr>
      <w:r>
        <w:rPr>
          <w:rFonts w:hint="eastAsia" w:ascii="黑体" w:hAnsi="黑体" w:eastAsia="黑体" w:cs="宋体"/>
          <w:color w:val="000000" w:themeColor="text1"/>
          <w:kern w:val="0"/>
          <w:sz w:val="28"/>
          <w:szCs w:val="28"/>
          <w14:textFill>
            <w14:solidFill>
              <w14:schemeClr w14:val="tx1"/>
            </w14:solidFill>
          </w14:textFill>
        </w:rPr>
        <w:t>（一）详尽的技术及服务要求</w:t>
      </w:r>
    </w:p>
    <w:p>
      <w:pPr>
        <w:ind w:firstLine="562" w:firstLineChars="200"/>
        <w:outlineLvl w:val="2"/>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1、项目背景</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政府网站是“互联网</w:t>
      </w:r>
      <w:r>
        <w:rPr>
          <w:rFonts w:ascii="宋体" w:hAnsi="宋体" w:eastAsia="宋体" w:cs="宋体"/>
          <w:color w:val="000000" w:themeColor="text1"/>
          <w:kern w:val="0"/>
          <w:sz w:val="28"/>
          <w:szCs w:val="28"/>
          <w14:textFill>
            <w14:solidFill>
              <w14:schemeClr w14:val="tx1"/>
            </w14:solidFill>
          </w14:textFill>
        </w:rPr>
        <w:t>+”时代打造阳光政府、法治政府的新载体，是</w:t>
      </w:r>
      <w:r>
        <w:rPr>
          <w:rFonts w:hint="eastAsia" w:ascii="宋体" w:hAnsi="宋体" w:eastAsia="宋体" w:cs="宋体"/>
          <w:color w:val="000000" w:themeColor="text1"/>
          <w:kern w:val="0"/>
          <w:sz w:val="28"/>
          <w:szCs w:val="28"/>
          <w14:textFill>
            <w14:solidFill>
              <w14:schemeClr w14:val="tx1"/>
            </w14:solidFill>
          </w14:textFill>
        </w:rPr>
        <w:t>数字化</w:t>
      </w:r>
      <w:r>
        <w:rPr>
          <w:rFonts w:ascii="宋体" w:hAnsi="宋体" w:eastAsia="宋体" w:cs="宋体"/>
          <w:color w:val="000000" w:themeColor="text1"/>
          <w:kern w:val="0"/>
          <w:sz w:val="28"/>
          <w:szCs w:val="28"/>
          <w14:textFill>
            <w14:solidFill>
              <w14:schemeClr w14:val="tx1"/>
            </w14:solidFill>
          </w14:textFill>
        </w:rPr>
        <w:t>转型条件下政府密切联系人民群众的重要桥梁，也是网络时代政府履行职责的重要平台。作为政府面向公众的第一门户，政府网站在政府工作中发挥着重要作用。</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泰州市政府网站群经过多年的建设与完善，已形成一个有机整体，极大地促进了全市政务网站信息资源的整合和共享，总体处于国内领先地位。但网站群中各网站间仍然存在发展水平差距明显的问题，部分网站在运维保障方面还有较大的提升空间。</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为贯彻落实《国务院办公厅关于印发政府网站发展指引的通知》（国办发〔</w:t>
      </w:r>
      <w:r>
        <w:rPr>
          <w:rFonts w:ascii="宋体" w:hAnsi="宋体" w:eastAsia="宋体" w:cs="宋体"/>
          <w:color w:val="000000" w:themeColor="text1"/>
          <w:kern w:val="0"/>
          <w:sz w:val="28"/>
          <w:szCs w:val="28"/>
          <w14:textFill>
            <w14:solidFill>
              <w14:schemeClr w14:val="tx1"/>
            </w14:solidFill>
          </w14:textFill>
        </w:rPr>
        <w:t>2017〕47号）、《国务院关于加快推进“互联网+政务服务”工作的指导意见》（国发〔2016〕55号）、《国务院办公厅秘书局关于印发政府网站与政务新媒体检查指标、监管工作年度考核指标的通知》等文件要求</w:t>
      </w:r>
      <w:r>
        <w:rPr>
          <w:rFonts w:hint="eastAsia" w:ascii="宋体" w:hAnsi="宋体" w:eastAsia="宋体" w:cs="宋体"/>
          <w:color w:val="000000" w:themeColor="text1"/>
          <w:kern w:val="0"/>
          <w:sz w:val="28"/>
          <w:szCs w:val="28"/>
          <w14:textFill>
            <w14:solidFill>
              <w14:schemeClr w14:val="tx1"/>
            </w14:solidFill>
          </w14:textFill>
        </w:rPr>
        <w:t>，应对国办对全国政府网站的每半年抽查、江苏省政府办对全省政府网站的季度抽查，提高泰州市各运行中政府网站的信息内容质量，全面提升泰州市政府网站群的权威性和影响力，维护政府公信力，决定开展泰州市政府网站群季度监测服务采购。</w:t>
      </w:r>
    </w:p>
    <w:p>
      <w:pPr>
        <w:ind w:firstLine="562" w:firstLineChars="200"/>
        <w:outlineLvl w:val="2"/>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2、项目内容和要求</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依据国办政府网站检查指标，每季度对泰州市政府网站群开展全面监测检查工作。分别于</w:t>
      </w:r>
      <w:r>
        <w:rPr>
          <w:rFonts w:ascii="宋体" w:hAnsi="宋体" w:eastAsia="宋体" w:cs="宋体"/>
          <w:color w:val="000000" w:themeColor="text1"/>
          <w:kern w:val="0"/>
          <w:sz w:val="28"/>
          <w:szCs w:val="28"/>
          <w14:textFill>
            <w14:solidFill>
              <w14:schemeClr w14:val="tx1"/>
            </w14:solidFill>
          </w14:textFill>
        </w:rPr>
        <w:t>1月、4月、7月、10月</w:t>
      </w: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运用人工比对分析、软件系统工具扫描等方式，重点发现群众反映强烈的“不及时、不准确、不回应、不实用”等问题，记录评分采样过程和扣分原因，出具《各单位网站季度监测报告》。</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（1）检查对象</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一是泰州市门户网站和市（县）、区政府门户网站；</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二是市政府委办局网站。</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备注：接受季度检查的市政府委办局网站数量，以检查当时实际正常运行的网站数量为准。</w:t>
      </w:r>
    </w:p>
    <w:p>
      <w:pPr>
        <w:ind w:firstLine="560" w:firstLineChars="200"/>
        <w:outlineLvl w:val="3"/>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2</w:t>
      </w: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检查指标依据及检查方式</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ascii="宋体" w:hAnsi="宋体" w:eastAsia="宋体" w:cs="宋体"/>
          <w:color w:val="000000" w:themeColor="text1"/>
          <w:kern w:val="0"/>
          <w:sz w:val="28"/>
          <w:szCs w:val="28"/>
          <w14:textFill>
            <w14:solidFill>
              <w14:schemeClr w14:val="tx1"/>
            </w14:solidFill>
          </w14:textFill>
        </w:rPr>
        <w:t>各</w:t>
      </w:r>
      <w:r>
        <w:rPr>
          <w:rFonts w:hint="eastAsia" w:ascii="宋体" w:hAnsi="宋体" w:eastAsia="宋体" w:cs="宋体"/>
          <w:color w:val="000000" w:themeColor="text1"/>
          <w:kern w:val="0"/>
          <w:sz w:val="28"/>
          <w:szCs w:val="28"/>
          <w14:textFill>
            <w14:solidFill>
              <w14:schemeClr w14:val="tx1"/>
            </w14:solidFill>
          </w14:textFill>
        </w:rPr>
        <w:t>委办局网站及专栏网站按照国办《全国网站普查评分表》各项标准及《政府网站与政务新媒体检查指标》中单项否决指标（不含政务新媒体）进行检查。</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泰州市门户网站和市（县）、区政府门户网站按照《政府网站与政务新媒体检查指标》（不含政务新媒体）进行检查。</w:t>
      </w:r>
    </w:p>
    <w:p>
      <w:pPr>
        <w:ind w:firstLine="560" w:firstLineChars="200"/>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监测服务期内，监测指标内容将根据国家、江苏省和项目需求方的相关要求及时调整。每季度均需对各单位出具监测报告（含错误类别、问题截图、情况说明、整改建议、扣分情况等）。</w:t>
      </w:r>
    </w:p>
    <w:p>
      <w:pPr>
        <w:pStyle w:val="2"/>
        <w:rPr>
          <w:rFonts w:hint="eastAsia" w:ascii="宋体" w:hAnsi="宋体" w:eastAsia="宋体" w:cs="宋体"/>
          <w:color w:val="000000" w:themeColor="text1"/>
          <w:kern w:val="0"/>
          <w:sz w:val="28"/>
          <w:szCs w:val="28"/>
          <w14:textFill>
            <w14:solidFill>
              <w14:schemeClr w14:val="tx1"/>
            </w14:solidFill>
          </w14:textFill>
        </w:rPr>
      </w:pPr>
    </w:p>
    <w:p>
      <w:pPr>
        <w:rPr>
          <w:color w:val="000000" w:themeColor="text1"/>
          <w14:textFill>
            <w14:solidFill>
              <w14:schemeClr w14:val="tx1"/>
            </w14:solidFill>
          </w14:textFill>
        </w:rPr>
      </w:pPr>
    </w:p>
    <w:p>
      <w:pPr>
        <w:spacing w:before="156" w:beforeLines="50"/>
        <w:ind w:firstLine="562" w:firstLineChars="200"/>
        <w:outlineLvl w:val="3"/>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全国政府网站普查评分表及检查方式：</w:t>
      </w:r>
    </w:p>
    <w:tbl>
      <w:tblPr>
        <w:tblStyle w:val="6"/>
        <w:tblW w:w="9680" w:type="dxa"/>
        <w:jc w:val="center"/>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048"/>
        <w:gridCol w:w="1195"/>
        <w:gridCol w:w="2630"/>
        <w:gridCol w:w="3648"/>
        <w:gridCol w:w="1159"/>
      </w:tblGrid>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7" w:hRule="atLeast"/>
          <w:tblHeader/>
          <w:jc w:val="center"/>
        </w:trPr>
        <w:tc>
          <w:tcPr>
            <w:tcW w:w="10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ascii="Calibri" w:hAnsi="Calibri" w:eastAsia="宋体"/>
                <w:b/>
                <w:color w:val="000000" w:themeColor="text1"/>
                <w:kern w:val="0"/>
                <w:sz w:val="20"/>
                <w:szCs w:val="20"/>
                <w14:textFill>
                  <w14:solidFill>
                    <w14:schemeClr w14:val="tx1"/>
                  </w14:solidFill>
                </w14:textFill>
              </w:rPr>
              <w:t>一级指标</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ascii="Calibri" w:hAnsi="Calibri" w:eastAsia="宋体"/>
                <w:b/>
                <w:color w:val="000000" w:themeColor="text1"/>
                <w:kern w:val="0"/>
                <w:sz w:val="20"/>
                <w:szCs w:val="20"/>
                <w14:textFill>
                  <w14:solidFill>
                    <w14:schemeClr w14:val="tx1"/>
                  </w14:solidFill>
                </w14:textFill>
              </w:rPr>
              <w:t>二级指标</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ascii="Calibri" w:hAnsi="Calibri" w:eastAsia="宋体"/>
                <w:b/>
                <w:color w:val="000000" w:themeColor="text1"/>
                <w:kern w:val="0"/>
                <w:sz w:val="20"/>
                <w:szCs w:val="20"/>
                <w14:textFill>
                  <w14:solidFill>
                    <w14:schemeClr w14:val="tx1"/>
                  </w14:solidFill>
                </w14:textFill>
              </w:rPr>
              <w:t>考察点</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ascii="Calibri" w:hAnsi="Calibri" w:eastAsia="宋体"/>
                <w:b/>
                <w:color w:val="000000" w:themeColor="text1"/>
                <w:kern w:val="0"/>
                <w:sz w:val="20"/>
                <w:szCs w:val="20"/>
                <w14:textFill>
                  <w14:solidFill>
                    <w14:schemeClr w14:val="tx1"/>
                  </w14:solidFill>
                </w14:textFill>
              </w:rPr>
              <w:t>扣分细则</w:t>
            </w:r>
          </w:p>
        </w:tc>
        <w:tc>
          <w:tcPr>
            <w:tcW w:w="1159" w:type="dxa"/>
            <w:tcBorders>
              <w:top w:val="outset" w:color="000000" w:sz="6" w:space="0"/>
              <w:left w:val="outset" w:color="000000" w:sz="6" w:space="0"/>
              <w:bottom w:val="outset" w:color="000000" w:sz="6" w:space="0"/>
              <w:right w:val="outset" w:color="000000" w:sz="6" w:space="0"/>
            </w:tcBorders>
            <w:shd w:val="clear" w:color="auto" w:fill="FFFFFF"/>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hint="eastAsia" w:ascii="Calibri" w:hAnsi="Calibri" w:eastAsia="宋体"/>
                <w:b/>
                <w:color w:val="000000" w:themeColor="text1"/>
                <w:kern w:val="0"/>
                <w:sz w:val="20"/>
                <w:szCs w:val="20"/>
                <w14:textFill>
                  <w14:solidFill>
                    <w14:schemeClr w14:val="tx1"/>
                  </w14:solidFill>
                </w14:textFill>
              </w:rPr>
              <w:t>检查方式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545"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单项否决</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站点无法访问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首页打不开的次数占全部监测次数的比例。</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监测1周，每天间隔性访问20次以上，超过（含）15秒网站仍打不开的次数比例累计超过（含）5%，即单项否决。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545"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网站不更新</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首页栏目信息更新情况。</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如首页仅为网站栏目导航入口，则检查所有二级页面栏目信息的更新情况。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监测2周，首页栏目无信息更新的，即单项否决。</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（注：未注明信息发布时间的视为不更新，下同。）</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819"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栏目</w:t>
            </w:r>
          </w:p>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不更新</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1.动态、要闻、通知公告、政策文件等信息长期未更新的栏目数量；</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2.网站中应更新但长期未更新的栏目数量；</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3.网站中的空白栏目（有栏目无内容）数量。</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1.监测时间点前2周内的动态、要闻类栏目，以及监测时间点前6个月内的通知公告、政策文件类栏目，累计超过（含）5个未更新；</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2.网站中应更新但长期未更新的栏目数超过（含）10个；</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3.空白栏目数量超过（含）5个。</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上述情况出现任意一种，即单项否决。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8"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严重错误</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1.网站存在严重错别字；</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2.网站存在虚假或伪造内容；</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3.网站存在反动、暴力、色情等内容。</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网站出现严重错别字（例如，将党和国家领导人姓名写错）、虚假或伪造内容（例如，严重不符合实际情况的文字、图片、视频）以及反动、暴力、色情等内容的，即单项否决。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8"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w:t>
            </w:r>
          </w:p>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回应差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互动回应类栏目长期未回应的情况。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监测时间点前1年内，要求对公众信件、留言及时答复处理的政务咨询类栏目（在线访谈、调查征集、举报投诉类栏目除外）中存在超过三个月未回应的现象，即单项否决。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7"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网站可用性</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w:t>
            </w:r>
          </w:p>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可用性</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首页打不开的次数占全部监测次数的比例。</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监测1周，每天间隔性访问20次以上，累计超过（含）15秒网站仍打不开的次数比例每1%扣5分（累计超过（含）5%的，直接列入单项否决）。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819"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链接</w:t>
            </w:r>
          </w:p>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可用性</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首页及其他页面不能正常访问的链接数量。</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1.首页上的链接（包括图片、附件、外部链接等），每发现一个打不开或错误的，扣1分；如首页仅为网站栏目导航入口，则检查所有二级页面上的链接。</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2.其他页面的链接（包括图片、附件、外部链接等），每发现一个打不开或错误的，扣0.1分。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545"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信息更新情况</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首页栏目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首页栏目信息更新数量。</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如首页仅为网站栏目导航入口，则检查所有二级页面栏目信息更新情况。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监测2周，首页栏目信息更新总量少于10条的，扣5分（2周内首页栏目信息更新总量为0的，直接列入单项否决）。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985"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基本信息</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1.基本信息更新是否及时；</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2.基本信息内容是否准确。</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1.监测时间点前2周内，动态、要闻类信息，每发现1个栏目未更新的，扣3分；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2.监测时间点前6个月内，通知公告、政策文件类信息，每发现1个栏目未更新的，扣4分；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3.监测时间点前1年内，人事、规划计划类信息，每发现1个栏目未更新的，扣5分；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4.机构设置及职能、动态、要闻、通知公告、政策文件、规划计划、人事等信息不准确的，每发现1次扣1分。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786"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互动回应情况</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政务咨询类栏目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1.渠道建设情况；</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2.栏目使用情况。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1.未开设栏目的，扣5分；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2.开设了栏目，但监测时间点前1年内栏目中无任何有效信件、留言的，扣5分。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819"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调查征集类栏目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1.渠道建设情况；</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2.调查征集活动开展情况。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1.未开设栏目的，扣5分；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2.开设了栏目，但栏目不可用或监测时间点前1年内未开展调查征集活动的，扣5分；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3.开设了栏目且监测时间点前1年内开展了调查征集活动，但开展次数较少的（地方政府及国务院各部门门户网站少于6次，其他政府网站少于3次），扣3分。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093"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互动访谈类栏目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互动访谈开展情况。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1.开设了栏目，但栏目不可用或监测时间点前1年内未开展互动访谈活动的，扣5分；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2.开设了栏目且监测时间点前1年内开展了互动访谈活动，但开展次数较少的（地方政府及国务院各部门门户网站少于6次，其他政府网站少于3次），扣3分。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670"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服务实用情况</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办事指南</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办事指南要素的完整性、准确性。</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1.办事指南要素类别缺失的（要素类别包括事项名称、设定依据、申请条件、办理材料、办理地点、办理时间、联系电话、办理流程等），每发现一类扣2分；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2.办事指南要素内容不准确的，每发现一项扣1分。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926"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附件下载</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所需的办事表格、文件附件等资料能否正常下载。</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1.办事指南中提及的表格和附件未提供下载的，每发现一次扣1分；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2.办事表格、文件附件等无法下载的，每发现一次扣1分。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814"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在线系统</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在线申报和查询系统能否正常访问。</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在线申报或查询系统不能访问的，每发现一个扣3分。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bl>
    <w:p>
      <w:pPr>
        <w:spacing w:before="312" w:beforeLines="100"/>
        <w:ind w:firstLine="562" w:firstLineChars="200"/>
        <w:outlineLvl w:val="3"/>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政府网站检查指标、监管工作年度考核指标及检查方式：</w:t>
      </w:r>
    </w:p>
    <w:p>
      <w:pPr>
        <w:ind w:firstLine="562" w:firstLineChars="200"/>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（一）单项否决</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76"/>
        <w:gridCol w:w="1883"/>
        <w:gridCol w:w="5113"/>
        <w:gridCol w:w="136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7" w:hRule="atLeast"/>
          <w:tblHeader/>
          <w:jc w:val="center"/>
        </w:trPr>
        <w:tc>
          <w:tcPr>
            <w:tcW w:w="1376"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b/>
                <w:color w:val="000000" w:themeColor="text1"/>
                <w:sz w:val="20"/>
                <w:szCs w:val="20"/>
                <w:lang w:bidi="ar"/>
                <w14:textFill>
                  <w14:solidFill>
                    <w14:schemeClr w14:val="tx1"/>
                  </w14:solidFill>
                </w14:textFill>
              </w:rPr>
              <w:t>检查对象</w:t>
            </w: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b/>
                <w:color w:val="000000" w:themeColor="text1"/>
                <w:sz w:val="20"/>
                <w:szCs w:val="20"/>
                <w:lang w:bidi="ar"/>
                <w14:textFill>
                  <w14:solidFill>
                    <w14:schemeClr w14:val="tx1"/>
                  </w14:solidFill>
                </w14:textFill>
              </w:rPr>
              <w:t>指标</w:t>
            </w:r>
          </w:p>
        </w:tc>
        <w:tc>
          <w:tcPr>
            <w:tcW w:w="511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b/>
                <w:color w:val="000000" w:themeColor="text1"/>
                <w:sz w:val="20"/>
                <w:szCs w:val="20"/>
                <w:lang w:bidi="ar"/>
                <w14:textFill>
                  <w14:solidFill>
                    <w14:schemeClr w14:val="tx1"/>
                  </w14:solidFill>
                </w14:textFill>
              </w:rPr>
              <w:t>评分细则</w:t>
            </w:r>
          </w:p>
        </w:tc>
        <w:tc>
          <w:tcPr>
            <w:tcW w:w="1368" w:type="dxa"/>
          </w:tcPr>
          <w:p>
            <w:pPr>
              <w:spacing w:after="100" w:afterAutospacing="1" w:line="30" w:lineRule="atLeast"/>
              <w:jc w:val="center"/>
              <w:rPr>
                <w:rFonts w:ascii="Calibri" w:hAnsi="Calibri" w:eastAsia="宋体"/>
                <w:b/>
                <w:color w:val="000000" w:themeColor="text1"/>
                <w:sz w:val="20"/>
                <w:szCs w:val="20"/>
                <w:lang w:bidi="ar"/>
                <w14:textFill>
                  <w14:solidFill>
                    <w14:schemeClr w14:val="tx1"/>
                  </w14:solidFill>
                </w14:textFill>
              </w:rPr>
            </w:pPr>
            <w:r>
              <w:rPr>
                <w:rFonts w:hint="eastAsia" w:ascii="Calibri" w:hAnsi="Calibri" w:eastAsia="宋体"/>
                <w:b/>
                <w:color w:val="000000" w:themeColor="text1"/>
                <w:sz w:val="20"/>
                <w:szCs w:val="20"/>
                <w:lang w:bidi="ar"/>
                <w14:textFill>
                  <w14:solidFill>
                    <w14:schemeClr w14:val="tx1"/>
                  </w14:solidFill>
                </w14:textFill>
              </w:rPr>
              <w:t>检查方式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35" w:hRule="atLeast"/>
          <w:jc w:val="center"/>
        </w:trPr>
        <w:tc>
          <w:tcPr>
            <w:tcW w:w="1376" w:type="dxa"/>
            <w:vMerge w:val="restart"/>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政府网站</w:t>
            </w:r>
          </w:p>
        </w:tc>
        <w:tc>
          <w:tcPr>
            <w:tcW w:w="1883" w:type="dxa"/>
            <w:vAlign w:val="center"/>
          </w:tcPr>
          <w:p>
            <w:pPr>
              <w:spacing w:afterAutospacing="1" w:line="30" w:lineRule="atLeast"/>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安全、泄密事故等严重问题</w:t>
            </w:r>
          </w:p>
        </w:tc>
        <w:tc>
          <w:tcPr>
            <w:tcW w:w="5113" w:type="dxa"/>
            <w:vAlign w:val="center"/>
          </w:tcPr>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1.出现严重表述错误。</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2.泄露国家秘密。</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3.发布或链接反动、暴力、色情等内容。</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4.对安全攻击（如页面被挂马、内容被篡改等）没有及时有效处置造成严重安全事故。</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5.存在弄虚作假行为（如伪造发稿日期等）。</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6.因网站建设管理工作不当引发严重负面舆情。</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w:t>
            </w:r>
          </w:p>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0"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站点无法访问</w:t>
            </w:r>
          </w:p>
        </w:tc>
        <w:tc>
          <w:tcPr>
            <w:tcW w:w="5113" w:type="dxa"/>
            <w:vAlign w:val="center"/>
          </w:tcPr>
          <w:p>
            <w:pPr>
              <w:spacing w:afterAutospacing="1" w:line="30" w:lineRule="atLeast"/>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监测1周，每天间隔性访问20次以上，超过（含）15秒网站仍打不开的次数累计占比超过（含）5%，即单项否决。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工具扫描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首页不更新</w:t>
            </w:r>
          </w:p>
        </w:tc>
        <w:tc>
          <w:tcPr>
            <w:tcW w:w="5113" w:type="dxa"/>
            <w:vAlign w:val="center"/>
          </w:tcPr>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监测2周，首页无信息更新的，即单项否决。</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如首页仅为网站栏目导航入口，所有二级页面无信息更新的，即单项否决。</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（注：稿件发布页未注明发布时间的视为不更新，下同。）</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83"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栏目不更新</w:t>
            </w:r>
          </w:p>
        </w:tc>
        <w:tc>
          <w:tcPr>
            <w:tcW w:w="5113" w:type="dxa"/>
            <w:vAlign w:val="center"/>
          </w:tcPr>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1.监测时间点前2周内的动态、要闻类栏目，以及监测时间点前6个月内的通知公告、政策文件类一级栏目，累计超过（含）5个未更新。</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2.应更新但长期未更新的栏目数量超过（含）10个。</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3.空白栏目数量超过（含）5个。</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02"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互动回应差</w:t>
            </w:r>
          </w:p>
        </w:tc>
        <w:tc>
          <w:tcPr>
            <w:tcW w:w="5113" w:type="dxa"/>
            <w:vAlign w:val="center"/>
          </w:tcPr>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1.未提供网上有效咨询建言渠道（网上信访、纪检举报等专门渠道除外）。</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2.监测时间点前1年内，对网民留言应及时答复处理的政务咨询类栏目（在线访谈、调查征集、网上信访、纪检举报类栏目除外）存在超过3个月未回应有效留言的现象。</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57"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服务不实用</w:t>
            </w:r>
          </w:p>
        </w:tc>
        <w:tc>
          <w:tcPr>
            <w:tcW w:w="5113" w:type="dxa"/>
            <w:vAlign w:val="center"/>
          </w:tcPr>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1.未提供办事服务。</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2.办事指南重点要素类别（包括事项名称、设定依据、申请条件、办理材料、办理地点、办理机构、收费标准、办理时间、联系电话、办理流程）缺失4类及以上的事项数量超过（含）5个。</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3.事项总数不足5个的，每个事项办事指南重点要素类别（包括事项名称、设定依据、申请条件、办理材料、办理地点、办理机构、收费标准、办理时间、联系电话、办理流程）均缺失4类及以上。</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上述情况出现任意一种，即单项否决。</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（注：对没有对外服务职能的部门，不检查其网站该项指标。）</w:t>
            </w:r>
          </w:p>
        </w:tc>
        <w:tc>
          <w:tcPr>
            <w:tcW w:w="1368" w:type="dxa"/>
            <w:vAlign w:val="center"/>
          </w:tcPr>
          <w:p>
            <w:pPr>
              <w:spacing w:after="100"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73" w:hRule="atLeast"/>
          <w:jc w:val="center"/>
        </w:trPr>
        <w:tc>
          <w:tcPr>
            <w:tcW w:w="1376" w:type="dxa"/>
            <w:vMerge w:val="restart"/>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政务新媒体</w:t>
            </w:r>
          </w:p>
        </w:tc>
        <w:tc>
          <w:tcPr>
            <w:tcW w:w="1883" w:type="dxa"/>
            <w:vAlign w:val="center"/>
          </w:tcPr>
          <w:p>
            <w:pPr>
              <w:spacing w:afterAutospacing="1" w:line="30" w:lineRule="atLeast"/>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安全、泄密事故等严重问题</w:t>
            </w:r>
          </w:p>
        </w:tc>
        <w:tc>
          <w:tcPr>
            <w:tcW w:w="5113" w:type="dxa"/>
            <w:vAlign w:val="center"/>
          </w:tcPr>
          <w:p>
            <w:pPr>
              <w:spacing w:afterAutospacing="1" w:line="30" w:lineRule="atLeast"/>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1.出现严重表述错误。</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2.泄露国家秘密。</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3.发布或链接反动、暴力、色情等内容。</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4.因发布内容不当引发严重负面舆情。</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不含政务新媒体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0"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内容不更新</w:t>
            </w:r>
          </w:p>
        </w:tc>
        <w:tc>
          <w:tcPr>
            <w:tcW w:w="5113" w:type="dxa"/>
            <w:vAlign w:val="center"/>
          </w:tcPr>
          <w:p>
            <w:pPr>
              <w:spacing w:afterAutospacing="1" w:line="30" w:lineRule="atLeast"/>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1.监测时间点前2周内无更新。</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2.移动客户端（APP）无法下载或使用，发生“僵尸”、“睡眠”情况。</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不含政务新媒体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27"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互动回应差</w:t>
            </w:r>
          </w:p>
        </w:tc>
        <w:tc>
          <w:tcPr>
            <w:tcW w:w="5113" w:type="dxa"/>
            <w:vAlign w:val="center"/>
          </w:tcPr>
          <w:p>
            <w:pPr>
              <w:spacing w:afterAutospacing="1" w:line="30" w:lineRule="atLeast"/>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1.未提供有效互动功能。</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2.存在购买“粉丝”、强制要求群众点赞等弄虚作假行为。</w:t>
            </w:r>
            <w:r>
              <w:rPr>
                <w:rFonts w:ascii="Calibri" w:hAnsi="Calibri" w:eastAsia="宋体"/>
                <w:color w:val="000000" w:themeColor="text1"/>
                <w:sz w:val="20"/>
                <w:szCs w:val="20"/>
                <w:lang w:bidi="ar"/>
                <w14:textFill>
                  <w14:solidFill>
                    <w14:schemeClr w14:val="tx1"/>
                  </w14:solidFill>
                </w14:textFill>
              </w:rPr>
              <w:br w:type="textWrapping"/>
            </w: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不含政务新媒体</w:t>
            </w:r>
          </w:p>
        </w:tc>
      </w:tr>
    </w:tbl>
    <w:p>
      <w:pPr>
        <w:spacing w:before="312" w:beforeLines="100"/>
        <w:ind w:firstLine="562" w:firstLineChars="200"/>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（二）扣分指标（</w:t>
      </w:r>
      <w:r>
        <w:rPr>
          <w:rFonts w:ascii="宋体" w:hAnsi="宋体" w:eastAsia="宋体" w:cs="宋体"/>
          <w:b/>
          <w:color w:val="000000" w:themeColor="text1"/>
          <w:kern w:val="0"/>
          <w:sz w:val="28"/>
          <w:szCs w:val="28"/>
          <w14:textFill>
            <w14:solidFill>
              <w14:schemeClr w14:val="tx1"/>
            </w14:solidFill>
          </w14:textFill>
        </w:rPr>
        <w:t>100分）</w:t>
      </w:r>
    </w:p>
    <w:tbl>
      <w:tblPr>
        <w:tblStyle w:val="6"/>
        <w:tblW w:w="0" w:type="auto"/>
        <w:jc w:val="center"/>
        <w:tblLayout w:type="fixed"/>
        <w:tblCellMar>
          <w:top w:w="0" w:type="dxa"/>
          <w:left w:w="0" w:type="dxa"/>
          <w:bottom w:w="0" w:type="dxa"/>
          <w:right w:w="0" w:type="dxa"/>
        </w:tblCellMar>
      </w:tblPr>
      <w:tblGrid>
        <w:gridCol w:w="1291"/>
        <w:gridCol w:w="1736"/>
        <w:gridCol w:w="4625"/>
        <w:gridCol w:w="712"/>
        <w:gridCol w:w="1296"/>
      </w:tblGrid>
      <w:tr>
        <w:tblPrEx>
          <w:tblCellMar>
            <w:top w:w="0" w:type="dxa"/>
            <w:left w:w="0" w:type="dxa"/>
            <w:bottom w:w="0" w:type="dxa"/>
            <w:right w:w="0" w:type="dxa"/>
          </w:tblCellMar>
        </w:tblPrEx>
        <w:trPr>
          <w:trHeight w:val="322" w:hRule="atLeast"/>
          <w:tblHeader/>
          <w:jc w:val="center"/>
        </w:trPr>
        <w:tc>
          <w:tcPr>
            <w:tcW w:w="12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一级指标</w:t>
            </w:r>
          </w:p>
        </w:tc>
        <w:tc>
          <w:tcPr>
            <w:tcW w:w="173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二级指标</w:t>
            </w:r>
          </w:p>
        </w:tc>
        <w:tc>
          <w:tcPr>
            <w:tcW w:w="462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评分细则</w:t>
            </w:r>
          </w:p>
        </w:tc>
        <w:tc>
          <w:tcPr>
            <w:tcW w:w="71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分值</w:t>
            </w:r>
          </w:p>
        </w:tc>
        <w:tc>
          <w:tcPr>
            <w:tcW w:w="1296" w:type="dxa"/>
            <w:tcBorders>
              <w:top w:val="single" w:color="auto" w:sz="8" w:space="0"/>
              <w:left w:val="nil"/>
              <w:bottom w:val="single" w:color="auto" w:sz="8" w:space="0"/>
              <w:right w:val="single" w:color="auto" w:sz="8" w:space="0"/>
            </w:tcBorders>
          </w:tcPr>
          <w:p>
            <w:pPr>
              <w:jc w:val="center"/>
              <w:rPr>
                <w:rFonts w:ascii="Calibri" w:hAnsi="Calibri" w:eastAsia="宋体"/>
                <w:b/>
                <w:bCs/>
                <w:color w:val="000000" w:themeColor="text1"/>
                <w:kern w:val="0"/>
                <w:sz w:val="20"/>
                <w:szCs w:val="20"/>
                <w14:textFill>
                  <w14:solidFill>
                    <w14:schemeClr w14:val="tx1"/>
                  </w14:solidFill>
                </w14:textFill>
              </w:rPr>
            </w:pPr>
            <w:r>
              <w:rPr>
                <w:rFonts w:hint="eastAsia" w:ascii="Calibri" w:hAnsi="Calibri" w:eastAsia="宋体"/>
                <w:b/>
                <w:bCs/>
                <w:color w:val="000000" w:themeColor="text1"/>
                <w:kern w:val="0"/>
                <w:sz w:val="20"/>
                <w:szCs w:val="20"/>
                <w14:textFill>
                  <w14:solidFill>
                    <w14:schemeClr w14:val="tx1"/>
                  </w14:solidFill>
                </w14:textFill>
              </w:rPr>
              <w:t>检查方式</w:t>
            </w:r>
          </w:p>
        </w:tc>
      </w:tr>
      <w:tr>
        <w:tblPrEx>
          <w:tblCellMar>
            <w:top w:w="0" w:type="dxa"/>
            <w:left w:w="0" w:type="dxa"/>
            <w:bottom w:w="0" w:type="dxa"/>
            <w:right w:w="0" w:type="dxa"/>
          </w:tblCellMar>
        </w:tblPrEx>
        <w:trPr>
          <w:trHeight w:val="1298" w:hRule="atLeast"/>
          <w:jc w:val="center"/>
        </w:trPr>
        <w:tc>
          <w:tcPr>
            <w:tcW w:w="129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发布解读</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（31分）</w:t>
            </w: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概况信息</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1.未开设概况信息类栏目的，扣2分。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2.概况信息更新不及时或不准确的，每发现一处，扣1分。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（注：对国务院部门门户网站不检查该项指标。）</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541"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机构职能</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1.未开设机构职能类栏目的，扣2分。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2.机构职能信息不准确的，每发现一处，扣1分。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（注：国务院部门门户网站未开设机构职能类栏目扣4分，信息不准确的，每发现一处扣1分，最多扣4分。）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领导信息</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1.未开设领导信息类栏目的，扣2分。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2.领导姓名、简历等信息缺失或不准确的，每发现一处，扣1分。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66"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动态要闻</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1.未开设动态要闻类栏目的，扣5分。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2.监测时间点前2周内未更新的，扣5分。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政策文件</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1.未开设政策文件类栏目的，扣5分。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2.监测时间点前6个月内政策文件类一级栏目未更新的，扣5分。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政策解读</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1.未开设政策解读类栏目的，扣5分。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2.监测时间点前6个月内政策解读类一级栏目未更新的，扣5分。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541"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解读比例</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随机抽查网站已发布的3个以本地区本部门或本地区本部门办公厅（室）名义印发的涉及面广、社会关注度高的政策文件，被解读的文件数量每少一个，扣1分。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（注：不足3个的则检查全部文件。）</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298"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解读关联</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随机抽查网站已发布的3个解读稿：未与被解读的政策文件相关联的，每发现一处，扣0.5分；该政策文件未与被抽查解读稿相关联的，每发现一处，扣0.5分。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（注：不足3个的则检查全部解读稿。）</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 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541"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其他栏目</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1.其他栏目存在空白的，每发现一个，扣2分。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2.其他栏目存在应更新未更新的，每发现一个，扣1分。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（注：因空白、应更新未更新等原因已按其他指标扣分的，本指标项下不重复扣分。）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66" w:hRule="atLeast"/>
          <w:jc w:val="center"/>
        </w:trPr>
        <w:tc>
          <w:tcPr>
            <w:tcW w:w="129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办事服务</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（25分）</w:t>
            </w: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事项公开</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未对办事服务事项集中分类展示的，扣3分。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在线申请</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1.未提供在线注册功能或提供注册功能但用户（含异地用户）无法注册的，扣5分。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2.注册用户无法在线办事的，扣5分。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办事统计</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1.未公开办事统计数据的，扣2分。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2.监测时间点前1个月内未更新的，扣1分；3个月内未更新的，扣2分。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446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办事指南</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随机抽查5个办事服务事项：</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1.事项无办事指南的，每发现一个，扣4分；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2.提供办事指南，但重点要素类别（包括事项名称、设定依据、申请条件、办理材料、办理地点、办理机构、收费标准、办理时间、联系电话、办理流程）缺失的，每发现一处，扣0.5分；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3.办理材料格式要求不明确的（如未说明原件/复印件、纸质版/电子版、份数等），每发现一个存在该问题的事项，扣1分；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4.存在表述含糊不清的情形（如“根据有关法律法规规定应提交的其他材料”等表述），每发现一个存在该问题的事项，扣2分；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5.办事指南中提到的政策文件仅有名称、未说明具体内容的，每发现一个存在该问题的事项，扣0.5分。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（注：不足5个的则检查全部事项。）</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8</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内容准确</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随机抽查5个办事指南，信息（如咨询电话、投诉电话等）存在错误，或与实际办事要求不一致的，每发现一处，扣1分。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（注：不足5个的则检查全部指南。）</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表格样表</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随机抽查2个办事指南，要求办事人提供申请表、申请书等表单但未提供规范表格获取渠道的，每发现一个存在该问题的办事指南，扣1分。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66" w:hRule="atLeast"/>
          <w:jc w:val="center"/>
        </w:trPr>
        <w:tc>
          <w:tcPr>
            <w:tcW w:w="129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互动交流</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（23分）</w:t>
            </w: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信息提交</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存在网民（含异地用户）无法使用网站互动交流功能提交信息问题的，扣7分。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7</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统一登录</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网站各个具有互动交流功能的栏目（网上信访、纪检举报等专门渠道除外）提供的注册登录功能，未实现统一注册登录的，扣3分。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2417"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留言公开</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1.咨询建言类栏目（网上信访、纪检举报等专门渠道除外）对所有网民留言都未公开的，扣6分。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2.随机抽查5条已公开的网民留言，未公开留言时间、答复时间、答复单位、答复内容的，每发现一处，扣1分。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3.监测时间点前2个月内未更新的，扣3分。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4.未公开留言受理反馈情况统计数据的，扣3分。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（注：不足5条的则检查全部留言。）</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6</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379"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办理答复</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模拟用户进行2次简单常见问题咨询：</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1.未在5个工作日内收到网上答复意见的，每发现一次，扣4分；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2.答复内容质量不高，有推诿、敷衍等现象的，每发现一次，扣4分。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7</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298" w:hRule="atLeast"/>
          <w:jc w:val="center"/>
        </w:trPr>
        <w:tc>
          <w:tcPr>
            <w:tcW w:w="129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功能设计</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（21分）</w:t>
            </w: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域名名称</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1.域名不符合规范的，扣1分。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2.网站未以本地区本部门名称命名的，扣1分。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3.网站名称未在全站页面头部区域显著展示的，扣1分。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网站标识</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未在全站页面底部功能区清晰列明党政机关网站标识、网站标识码、ICP备案编号、公安机关备案标识、网站主办单位、联系方式的，每缺一项，扣0.5分。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786"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可用性</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1.首页上的链接（包括图片、附件、外部链接等）打不开或错误的，每发现一处，扣0.2分；如首页仅为网站栏目导航入口，则检查所有二级页面上的链接。</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2.其他页面上的链接（包括图片、附件、外部链接等）打不开或错误的，每发现一处，扣0.1分。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CellMar>
            <w:top w:w="0" w:type="dxa"/>
            <w:left w:w="0" w:type="dxa"/>
            <w:bottom w:w="0" w:type="dxa"/>
            <w:right w:w="0" w:type="dxa"/>
          </w:tblCellMar>
        </w:tblPrEx>
        <w:trPr>
          <w:trHeight w:val="1298"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“我为政府网</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站找错”</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1.未在首页底部功能区规范添加“我为政府网站找错”入口的，扣1分。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2.未在其他页面底部功能区规范添加“我为政府网站找错”入口的，每发现一处，扣0.2分。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541"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vMerge w:val="continue"/>
            <w:tcBorders>
              <w:top w:val="nil"/>
              <w:left w:val="nil"/>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1.监测时间点前6个月内，存在网民留言超过3个工作日未答复的，每发现一条，扣1分。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2.监测时间点前6个月内，存在答复内容质量不高，有推诿、敷衍等现象的，每发现一条，扣1分。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203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站内搜索</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1.未提供全站站内搜索功能或功能不可用的，扣4分。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2.随机选取4条网站已发布的信息或服务的标题进行测试，在搜索结果第一页无法找到该内容的，每条扣1分。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3.未对搜索结果进行分类展现的（如按照政策文件、办事指南等进行分类），扣1分。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一号登录</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注册用户在各个功能板块（网上信访、纪检举报等专门渠道除外）无法一号登录的，扣2分。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页面标签</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1.随机抽查5个内容页面，无站点标签或内容标签的，每个扣0.1分。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2.随机抽查5个栏目页面，无站点标签或栏目标签的，每个扣0.1分。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66"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兼容性</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使用主流浏览器访问网站，不能正常显示页面内容的，每类扣1分。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397"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IPv6改造</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未按照要求完成IPv6改造的，扣1分。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bl>
    <w:p>
      <w:pPr>
        <w:spacing w:before="312" w:beforeLines="100"/>
        <w:ind w:firstLine="562" w:firstLineChars="200"/>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（三）加分指标（</w:t>
      </w:r>
      <w:r>
        <w:rPr>
          <w:rFonts w:ascii="宋体" w:hAnsi="宋体" w:eastAsia="宋体" w:cs="宋体"/>
          <w:b/>
          <w:color w:val="000000" w:themeColor="text1"/>
          <w:kern w:val="0"/>
          <w:sz w:val="28"/>
          <w:szCs w:val="28"/>
          <w14:textFill>
            <w14:solidFill>
              <w14:schemeClr w14:val="tx1"/>
            </w14:solidFill>
          </w14:textFill>
        </w:rPr>
        <w:t>30分）</w:t>
      </w:r>
    </w:p>
    <w:tbl>
      <w:tblPr>
        <w:tblStyle w:val="6"/>
        <w:tblW w:w="9600" w:type="dxa"/>
        <w:jc w:val="center"/>
        <w:tblLayout w:type="fixed"/>
        <w:tblCellMar>
          <w:top w:w="0" w:type="dxa"/>
          <w:left w:w="0" w:type="dxa"/>
          <w:bottom w:w="0" w:type="dxa"/>
          <w:right w:w="0" w:type="dxa"/>
        </w:tblCellMar>
      </w:tblPr>
      <w:tblGrid>
        <w:gridCol w:w="1301"/>
        <w:gridCol w:w="1752"/>
        <w:gridCol w:w="4422"/>
        <w:gridCol w:w="826"/>
        <w:gridCol w:w="1299"/>
      </w:tblGrid>
      <w:tr>
        <w:tblPrEx>
          <w:tblCellMar>
            <w:top w:w="0" w:type="dxa"/>
            <w:left w:w="0" w:type="dxa"/>
            <w:bottom w:w="0" w:type="dxa"/>
            <w:right w:w="0" w:type="dxa"/>
          </w:tblCellMar>
        </w:tblPrEx>
        <w:trPr>
          <w:trHeight w:val="272" w:hRule="atLeast"/>
          <w:tblHeader/>
          <w:jc w:val="center"/>
        </w:trPr>
        <w:tc>
          <w:tcPr>
            <w:tcW w:w="130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一级指标</w:t>
            </w:r>
          </w:p>
        </w:tc>
        <w:tc>
          <w:tcPr>
            <w:tcW w:w="175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二级指标</w:t>
            </w:r>
          </w:p>
        </w:tc>
        <w:tc>
          <w:tcPr>
            <w:tcW w:w="442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评分细则</w:t>
            </w:r>
          </w:p>
        </w:tc>
        <w:tc>
          <w:tcPr>
            <w:tcW w:w="82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分值</w:t>
            </w:r>
          </w:p>
        </w:tc>
        <w:tc>
          <w:tcPr>
            <w:tcW w:w="1299" w:type="dxa"/>
            <w:tcBorders>
              <w:top w:val="single" w:color="auto" w:sz="8" w:space="0"/>
              <w:left w:val="nil"/>
              <w:bottom w:val="single" w:color="auto" w:sz="8" w:space="0"/>
              <w:right w:val="single" w:color="auto" w:sz="8" w:space="0"/>
            </w:tcBorders>
          </w:tcPr>
          <w:p>
            <w:pPr>
              <w:jc w:val="center"/>
              <w:rPr>
                <w:rFonts w:ascii="Calibri" w:hAnsi="Calibri" w:eastAsia="宋体"/>
                <w:b/>
                <w:bCs/>
                <w:color w:val="000000" w:themeColor="text1"/>
                <w:kern w:val="0"/>
                <w:sz w:val="20"/>
                <w:szCs w:val="20"/>
                <w14:textFill>
                  <w14:solidFill>
                    <w14:schemeClr w14:val="tx1"/>
                  </w14:solidFill>
                </w14:textFill>
              </w:rPr>
            </w:pPr>
            <w:r>
              <w:rPr>
                <w:rFonts w:hint="eastAsia" w:ascii="Calibri" w:hAnsi="Calibri" w:eastAsia="宋体"/>
                <w:b/>
                <w:bCs/>
                <w:color w:val="000000" w:themeColor="text1"/>
                <w:kern w:val="0"/>
                <w:sz w:val="20"/>
                <w:szCs w:val="20"/>
                <w14:textFill>
                  <w14:solidFill>
                    <w14:schemeClr w14:val="tx1"/>
                  </w14:solidFill>
                </w14:textFill>
              </w:rPr>
              <w:t>检查方式</w:t>
            </w:r>
          </w:p>
        </w:tc>
      </w:tr>
      <w:tr>
        <w:tblPrEx>
          <w:tblCellMar>
            <w:top w:w="0" w:type="dxa"/>
            <w:left w:w="0" w:type="dxa"/>
            <w:bottom w:w="0" w:type="dxa"/>
            <w:right w:w="0" w:type="dxa"/>
          </w:tblCellMar>
        </w:tblPrEx>
        <w:trPr>
          <w:trHeight w:val="1917" w:hRule="atLeast"/>
          <w:jc w:val="center"/>
        </w:trPr>
        <w:tc>
          <w:tcPr>
            <w:tcW w:w="130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信息发布</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（7分）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数据发布</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1.开设数据发布类栏目并在监测时间点前3个月内有更新的，得2分；监测时间点前3—6个月内有更新的，得1分。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2.监测时间点前6个月内，通过图表图解等可视化方式展现和解读数据的，得1分。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3.定期更新数据集，并提供下载功能或可用数据接口的，得1分。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743"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解读回应</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随机抽查3个不同文件的解读稿，通过新闻发布会、图表图解、音视频或动漫等形式解读的，每个得1分。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07" w:hRule="atLeast"/>
          <w:jc w:val="center"/>
        </w:trPr>
        <w:tc>
          <w:tcPr>
            <w:tcW w:w="130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办事服务</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（6分）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服务功能</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1.提供服务评价功能的，得1分。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2.公布服务评价结果的，得1分。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983"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服务内容</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针对重点服务事项，整合相关资源，细化办理对象、条件、流程等，提供专题或集成服务。提供3项及以上的，得2分；提供1至2项的，得1分。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743"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服务关联</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随机抽查2个办事服务事项，涉及到的政策文件依据均准确关联至本网站政策文件库的，得2分。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983" w:hRule="atLeast"/>
          <w:jc w:val="center"/>
        </w:trPr>
        <w:tc>
          <w:tcPr>
            <w:tcW w:w="130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互动交流</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（8分）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实时互动</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模拟用户进行1次简单常见问题咨询：咨询后一个工作日内答复且内容准确的，得3分；提供实时智能答问功能且内容准确的，得2分。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447"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调查征集</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1.提供在线调查征集渠道（不含电子邮件形式），且监测时间点前1年内开展活动超过（含）6次的，得2分。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2.监测时间点前1年内开展的调查征集活动结束后1个月内均公开反馈结果的，得1分。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917" w:hRule="atLeast"/>
          <w:jc w:val="center"/>
        </w:trPr>
        <w:tc>
          <w:tcPr>
            <w:tcW w:w="130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功能设计</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（6分）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智能搜索</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1.提供关键词模糊搜索功能的，得1分。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2.根据搜索关键词聚合相关信息和服务功能，实现“搜索即服务”的，得1分。</w:t>
            </w:r>
            <w:r>
              <w:rPr>
                <w:rFonts w:ascii="Calibri" w:hAnsi="Calibri" w:eastAsia="宋体"/>
                <w:color w:val="000000" w:themeColor="text1"/>
                <w:kern w:val="0"/>
                <w:sz w:val="20"/>
                <w:szCs w:val="20"/>
                <w14:textFill>
                  <w14:solidFill>
                    <w14:schemeClr w14:val="tx1"/>
                  </w14:solidFill>
                </w14:textFill>
              </w:rPr>
              <w:br w:type="textWrapping"/>
            </w:r>
            <w:r>
              <w:rPr>
                <w:rFonts w:ascii="Calibri" w:hAnsi="Calibri" w:eastAsia="宋体"/>
                <w:color w:val="000000" w:themeColor="text1"/>
                <w:kern w:val="0"/>
                <w:sz w:val="20"/>
                <w:szCs w:val="20"/>
                <w14:textFill>
                  <w14:solidFill>
                    <w14:schemeClr w14:val="tx1"/>
                  </w14:solidFill>
                </w14:textFill>
              </w:rPr>
              <w:t>3.随机选取该地区、该部门下级网站上的2条信息或服务的标题：通过该地区、该部门政府门户网站搜索进行测试，能够在搜索结果第一页找到该内容的，每条得1分。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743"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用户空间</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注册用户可在用户主页下浏览其在本网站咨询问题、办事服务等历史信息的，得2分。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44" w:hRule="atLeast"/>
          <w:jc w:val="center"/>
        </w:trPr>
        <w:tc>
          <w:tcPr>
            <w:tcW w:w="130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创新发展</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通过政府网站服务中心工作、方便社会公众的做法突出，并获得本地区、本部门主要领导同志肯定的，加3分。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bl>
    <w:p>
      <w:pPr>
        <w:spacing w:before="312" w:beforeLines="100"/>
        <w:ind w:firstLine="562" w:firstLineChars="200"/>
        <w:outlineLvl w:val="3"/>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个性化监测指标及检查方式</w:t>
      </w:r>
    </w:p>
    <w:tbl>
      <w:tblPr>
        <w:tblStyle w:val="6"/>
        <w:tblW w:w="870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2271"/>
        <w:gridCol w:w="5227"/>
        <w:gridCol w:w="1202"/>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1" w:hRule="atLeast"/>
          <w:jc w:val="center"/>
        </w:trPr>
        <w:tc>
          <w:tcPr>
            <w:tcW w:w="2271" w:type="dxa"/>
            <w:vAlign w:val="center"/>
          </w:tcPr>
          <w:p>
            <w:pPr>
              <w:jc w:val="center"/>
              <w:rPr>
                <w:rFonts w:ascii="Times New Roman" w:hAnsi="Times New Roman" w:eastAsia="宋体"/>
                <w:b/>
                <w:color w:val="000000" w:themeColor="text1"/>
                <w:sz w:val="22"/>
                <w14:textFill>
                  <w14:solidFill>
                    <w14:schemeClr w14:val="tx1"/>
                  </w14:solidFill>
                </w14:textFill>
              </w:rPr>
            </w:pPr>
            <w:r>
              <w:rPr>
                <w:rFonts w:ascii="Times New Roman" w:hAnsi="Times New Roman" w:eastAsia="宋体"/>
                <w:b/>
                <w:color w:val="000000" w:themeColor="text1"/>
                <w:sz w:val="22"/>
                <w14:textFill>
                  <w14:solidFill>
                    <w14:schemeClr w14:val="tx1"/>
                  </w14:solidFill>
                </w14:textFill>
              </w:rPr>
              <w:t>监测指标</w:t>
            </w:r>
          </w:p>
        </w:tc>
        <w:tc>
          <w:tcPr>
            <w:tcW w:w="5227" w:type="dxa"/>
            <w:vAlign w:val="center"/>
          </w:tcPr>
          <w:p>
            <w:pPr>
              <w:jc w:val="center"/>
              <w:rPr>
                <w:rFonts w:ascii="Times New Roman" w:hAnsi="Times New Roman" w:eastAsia="宋体"/>
                <w:b/>
                <w:color w:val="000000" w:themeColor="text1"/>
                <w:sz w:val="22"/>
                <w14:textFill>
                  <w14:solidFill>
                    <w14:schemeClr w14:val="tx1"/>
                  </w14:solidFill>
                </w14:textFill>
              </w:rPr>
            </w:pPr>
            <w:r>
              <w:rPr>
                <w:rFonts w:ascii="Times New Roman" w:hAnsi="Times New Roman" w:eastAsia="宋体"/>
                <w:b/>
                <w:color w:val="000000" w:themeColor="text1"/>
                <w:sz w:val="22"/>
                <w14:textFill>
                  <w14:solidFill>
                    <w14:schemeClr w14:val="tx1"/>
                  </w14:solidFill>
                </w14:textFill>
              </w:rPr>
              <w:t>内容描述</w:t>
            </w:r>
          </w:p>
        </w:tc>
        <w:tc>
          <w:tcPr>
            <w:tcW w:w="1202" w:type="dxa"/>
          </w:tcPr>
          <w:p>
            <w:pPr>
              <w:jc w:val="center"/>
              <w:rPr>
                <w:rFonts w:ascii="Times New Roman" w:hAnsi="Times New Roman" w:eastAsia="宋体"/>
                <w:b/>
                <w:color w:val="000000" w:themeColor="text1"/>
                <w:sz w:val="22"/>
                <w14:textFill>
                  <w14:solidFill>
                    <w14:schemeClr w14:val="tx1"/>
                  </w14:solidFill>
                </w14:textFill>
              </w:rPr>
            </w:pPr>
            <w:r>
              <w:rPr>
                <w:rFonts w:hint="eastAsia" w:ascii="Times New Roman" w:hAnsi="Times New Roman" w:eastAsia="宋体"/>
                <w:b/>
                <w:color w:val="000000" w:themeColor="text1"/>
                <w:sz w:val="22"/>
                <w14:textFill>
                  <w14:solidFill>
                    <w14:schemeClr w14:val="tx1"/>
                  </w14:solidFill>
                </w14:textFill>
              </w:rPr>
              <w:t>检查方式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75"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网站名称不规范</w:t>
            </w:r>
          </w:p>
        </w:tc>
        <w:tc>
          <w:tcPr>
            <w:tcW w:w="5227"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1、党政机关标识中的网站名称或域名信息错误</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2、“我为政府网站找错”的网站名称或域名信息错误</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域名管理不规范</w:t>
            </w:r>
          </w:p>
        </w:tc>
        <w:tc>
          <w:tcPr>
            <w:tcW w:w="5227"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1、网站的办事平台、专题网站或业务子站的域名未规范管理</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浏览器兼容性</w:t>
            </w:r>
          </w:p>
        </w:tc>
        <w:tc>
          <w:tcPr>
            <w:tcW w:w="5227" w:type="dxa"/>
          </w:tcPr>
          <w:p>
            <w:pPr>
              <w:numPr>
                <w:ilvl w:val="0"/>
                <w:numId w:val="2"/>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对主流类别及常用版本浏览器（如IE、Chrome、360等）兼容性不佳，导致存在页面变形、图片不显示、视频无法播放、文字错行、表格错位、乱码信息、功能和控件不可用等情况</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网页标签管理</w:t>
            </w:r>
          </w:p>
        </w:tc>
        <w:tc>
          <w:tcPr>
            <w:tcW w:w="5227" w:type="dxa"/>
          </w:tcPr>
          <w:p>
            <w:pPr>
              <w:numPr>
                <w:ilvl w:val="0"/>
                <w:numId w:val="3"/>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未按照“政府网站发展指引”中网页标签管理规范，对网站标签、栏目标签、内容页标签等进行规范管理</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首页可用性</w:t>
            </w:r>
          </w:p>
        </w:tc>
        <w:tc>
          <w:tcPr>
            <w:tcW w:w="5227" w:type="dxa"/>
          </w:tcPr>
          <w:p>
            <w:pPr>
              <w:numPr>
                <w:ilvl w:val="0"/>
                <w:numId w:val="4"/>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能访问首页，但页面加载过慢（超过3秒）</w:t>
            </w:r>
          </w:p>
          <w:p>
            <w:pPr>
              <w:numPr>
                <w:ilvl w:val="0"/>
                <w:numId w:val="4"/>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首页信息无法正常显示，出现时间显示错误、图片不显示、视频无法播放、文字错行、表格错位、乱码信息等情况</w:t>
            </w:r>
          </w:p>
          <w:p>
            <w:pPr>
              <w:numPr>
                <w:ilvl w:val="0"/>
                <w:numId w:val="4"/>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首页提供的功能和控件不可用</w:t>
            </w:r>
          </w:p>
          <w:p>
            <w:pPr>
              <w:numPr>
                <w:ilvl w:val="0"/>
                <w:numId w:val="4"/>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首页存在无法关闭的悬浮框</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w:t>
            </w:r>
          </w:p>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栏目页管理</w:t>
            </w:r>
          </w:p>
        </w:tc>
        <w:tc>
          <w:tcPr>
            <w:tcW w:w="5227" w:type="dxa"/>
          </w:tcPr>
          <w:p>
            <w:pPr>
              <w:numPr>
                <w:ilvl w:val="0"/>
                <w:numId w:val="5"/>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栏目页未优先展现最新更新的信息内容</w:t>
            </w:r>
          </w:p>
          <w:p>
            <w:pPr>
              <w:numPr>
                <w:ilvl w:val="0"/>
                <w:numId w:val="5"/>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出现暂不能正常保障的空白栏目，如栏目显示“正在建设中”、“正在改版中”、“正在升级中”、仅有测试信息或没有任何信息等情况</w:t>
            </w:r>
          </w:p>
          <w:p>
            <w:pPr>
              <w:numPr>
                <w:ilvl w:val="0"/>
                <w:numId w:val="5"/>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未彻底删除应关停不再显示的栏目，如链接到旧版网站或不再更新的历史栏目等情况</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页面信息显示</w:t>
            </w:r>
          </w:p>
        </w:tc>
        <w:tc>
          <w:tcPr>
            <w:tcW w:w="5227" w:type="dxa"/>
          </w:tcPr>
          <w:p>
            <w:pPr>
              <w:numPr>
                <w:ilvl w:val="0"/>
                <w:numId w:val="6"/>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除首页外，在网站频道页、栏目页、专题页、文章页出现的信息无法正常显示的情况，如时间显示错误、图片不显示、文字错行、表格错位、乱码信息等</w:t>
            </w:r>
          </w:p>
          <w:p>
            <w:pPr>
              <w:numPr>
                <w:ilvl w:val="0"/>
                <w:numId w:val="6"/>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页面提示信息不准确、不友好</w:t>
            </w:r>
          </w:p>
          <w:p>
            <w:pPr>
              <w:numPr>
                <w:ilvl w:val="0"/>
                <w:numId w:val="6"/>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政府网站各页面的头部标识区和底部功能区未与首页保持一致（建设方明确要求不一致的页面除外）</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tcBorders>
              <w:top w:val="single" w:color="000000" w:sz="4" w:space="0"/>
              <w:left w:val="single" w:color="000000" w:sz="12" w:space="0"/>
              <w:bottom w:val="single" w:color="000000" w:sz="4" w:space="0"/>
              <w:right w:val="single" w:color="000000" w:sz="4" w:space="0"/>
            </w:tcBorders>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网站链接管理</w:t>
            </w:r>
          </w:p>
        </w:tc>
        <w:tc>
          <w:tcPr>
            <w:tcW w:w="5227" w:type="dxa"/>
            <w:tcBorders>
              <w:top w:val="single" w:color="000000" w:sz="4" w:space="0"/>
              <w:left w:val="single" w:color="000000" w:sz="4" w:space="0"/>
              <w:bottom w:val="single" w:color="000000" w:sz="4" w:space="0"/>
              <w:right w:val="single" w:color="000000" w:sz="4" w:space="0"/>
            </w:tcBorders>
          </w:tcPr>
          <w:p>
            <w:pPr>
              <w:numPr>
                <w:ilvl w:val="0"/>
                <w:numId w:val="7"/>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在网站迁移改版或栏目功能调整的过程中，出现大量因技术问题或管理不当导致的链接不可用的情况</w:t>
            </w:r>
          </w:p>
          <w:p>
            <w:pPr>
              <w:numPr>
                <w:ilvl w:val="0"/>
                <w:numId w:val="7"/>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发布了未经审核通过的外部链接</w:t>
            </w:r>
          </w:p>
          <w:p>
            <w:pPr>
              <w:numPr>
                <w:ilvl w:val="0"/>
                <w:numId w:val="7"/>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外部链接未在页面上显示，导致存在“暗链”，造成安全隐患</w:t>
            </w:r>
          </w:p>
          <w:p>
            <w:pPr>
              <w:numPr>
                <w:ilvl w:val="0"/>
                <w:numId w:val="7"/>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打开非政府网站链接时，未有跳转提示信息</w:t>
            </w:r>
          </w:p>
        </w:tc>
        <w:tc>
          <w:tcPr>
            <w:tcW w:w="1202" w:type="dxa"/>
            <w:tcBorders>
              <w:top w:val="single" w:color="000000" w:sz="4" w:space="0"/>
              <w:left w:val="single" w:color="000000" w:sz="4" w:space="0"/>
              <w:bottom w:val="single" w:color="000000" w:sz="4" w:space="0"/>
              <w:right w:val="single" w:color="000000" w:sz="12"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w:t>
            </w:r>
          </w:p>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bl>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3</w:t>
      </w:r>
      <w:r>
        <w:rPr>
          <w:rFonts w:hint="eastAsia" w:ascii="宋体" w:hAnsi="宋体" w:eastAsia="宋体" w:cs="宋体"/>
          <w:color w:val="000000" w:themeColor="text1"/>
          <w:kern w:val="0"/>
          <w:sz w:val="28"/>
          <w:szCs w:val="28"/>
          <w14:textFill>
            <w14:solidFill>
              <w14:schemeClr w14:val="tx1"/>
            </w14:solidFill>
          </w14:textFill>
        </w:rPr>
        <w:t>）整改咨询</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各单位整改网站问题过程中，需提供电话、QQ、微信、邮件等不同形式的咨询服务，便于单位进行网站的有效整改，</w:t>
      </w:r>
      <w:r>
        <w:rPr>
          <w:rFonts w:hint="eastAsia" w:ascii="宋体" w:hAnsi="宋体" w:eastAsia="宋体" w:cs="宋体"/>
          <w:b/>
          <w:bCs/>
          <w:color w:val="000000" w:themeColor="text1"/>
          <w:kern w:val="0"/>
          <w:sz w:val="28"/>
          <w:szCs w:val="28"/>
          <w14:textFill>
            <w14:solidFill>
              <w14:schemeClr w14:val="tx1"/>
            </w14:solidFill>
          </w14:textFill>
        </w:rPr>
        <w:t>每季度报告整改期间，需安排专人驻场</w:t>
      </w:r>
      <w:r>
        <w:rPr>
          <w:rFonts w:hint="eastAsia" w:ascii="宋体" w:hAnsi="宋体" w:eastAsia="宋体" w:cs="宋体"/>
          <w:color w:val="000000" w:themeColor="text1"/>
          <w:kern w:val="0"/>
          <w:sz w:val="28"/>
          <w:szCs w:val="28"/>
          <w14:textFill>
            <w14:solidFill>
              <w14:schemeClr w14:val="tx1"/>
            </w14:solidFill>
          </w14:textFill>
        </w:rPr>
        <w:t>，负责对各单位的整改报告进行核查；对未完全整改完毕的问题进行整理，分发给相关单位并指导整改到位；针对重点问题与各部门沟通交流，确保问题整改闭环，从而进一步提升我市政府网站内容保障质量。</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4</w:t>
      </w:r>
      <w:r>
        <w:rPr>
          <w:rFonts w:hint="eastAsia" w:ascii="宋体" w:hAnsi="宋体" w:eastAsia="宋体" w:cs="宋体"/>
          <w:color w:val="000000" w:themeColor="text1"/>
          <w:kern w:val="0"/>
          <w:sz w:val="28"/>
          <w:szCs w:val="28"/>
          <w14:textFill>
            <w14:solidFill>
              <w14:schemeClr w14:val="tx1"/>
            </w14:solidFill>
          </w14:textFill>
        </w:rPr>
        <w:t>）解读培训</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ascii="宋体" w:hAnsi="宋体" w:eastAsia="宋体" w:cs="宋体"/>
          <w:color w:val="000000" w:themeColor="text1"/>
          <w:kern w:val="0"/>
          <w:sz w:val="28"/>
          <w:szCs w:val="28"/>
          <w14:textFill>
            <w14:solidFill>
              <w14:schemeClr w14:val="tx1"/>
            </w14:solidFill>
          </w14:textFill>
        </w:rPr>
        <w:t>采购人将</w:t>
      </w:r>
      <w:r>
        <w:rPr>
          <w:rFonts w:hint="eastAsia" w:ascii="宋体" w:hAnsi="宋体" w:eastAsia="宋体" w:cs="宋体"/>
          <w:color w:val="000000" w:themeColor="text1"/>
          <w:kern w:val="0"/>
          <w:sz w:val="28"/>
          <w:szCs w:val="28"/>
          <w14:textFill>
            <w14:solidFill>
              <w14:schemeClr w14:val="tx1"/>
            </w14:solidFill>
          </w14:textFill>
        </w:rPr>
        <w:t>分批次</w:t>
      </w:r>
      <w:r>
        <w:rPr>
          <w:rFonts w:ascii="宋体" w:hAnsi="宋体" w:eastAsia="宋体" w:cs="宋体"/>
          <w:color w:val="000000" w:themeColor="text1"/>
          <w:kern w:val="0"/>
          <w:sz w:val="28"/>
          <w:szCs w:val="28"/>
          <w14:textFill>
            <w14:solidFill>
              <w14:schemeClr w14:val="tx1"/>
            </w14:solidFill>
          </w14:textFill>
        </w:rPr>
        <w:t>组织各单位网站相关负责人集中</w:t>
      </w:r>
      <w:r>
        <w:rPr>
          <w:rFonts w:hint="eastAsia" w:ascii="宋体" w:hAnsi="宋体" w:eastAsia="宋体" w:cs="宋体"/>
          <w:color w:val="000000" w:themeColor="text1"/>
          <w:kern w:val="0"/>
          <w:sz w:val="28"/>
          <w:szCs w:val="28"/>
          <w14:textFill>
            <w14:solidFill>
              <w14:schemeClr w14:val="tx1"/>
            </w14:solidFill>
          </w14:textFill>
        </w:rPr>
        <w:t>轮</w:t>
      </w:r>
      <w:r>
        <w:rPr>
          <w:rFonts w:ascii="宋体" w:hAnsi="宋体" w:eastAsia="宋体" w:cs="宋体"/>
          <w:color w:val="000000" w:themeColor="text1"/>
          <w:kern w:val="0"/>
          <w:sz w:val="28"/>
          <w:szCs w:val="28"/>
          <w14:textFill>
            <w14:solidFill>
              <w14:schemeClr w14:val="tx1"/>
            </w14:solidFill>
          </w14:textFill>
        </w:rPr>
        <w:t>训，</w:t>
      </w:r>
      <w:r>
        <w:rPr>
          <w:rFonts w:hint="eastAsia" w:ascii="宋体" w:hAnsi="宋体" w:eastAsia="宋体" w:cs="宋体"/>
          <w:color w:val="000000" w:themeColor="text1"/>
          <w:kern w:val="0"/>
          <w:sz w:val="28"/>
          <w:szCs w:val="28"/>
          <w14:textFill>
            <w14:solidFill>
              <w14:schemeClr w14:val="tx1"/>
            </w14:solidFill>
          </w14:textFill>
        </w:rPr>
        <w:t>投标人</w:t>
      </w:r>
      <w:r>
        <w:rPr>
          <w:rFonts w:ascii="宋体" w:hAnsi="宋体" w:eastAsia="宋体" w:cs="宋体"/>
          <w:color w:val="000000" w:themeColor="text1"/>
          <w:kern w:val="0"/>
          <w:sz w:val="28"/>
          <w:szCs w:val="28"/>
          <w14:textFill>
            <w14:solidFill>
              <w14:schemeClr w14:val="tx1"/>
            </w14:solidFill>
          </w14:textFill>
        </w:rPr>
        <w:t>需派专业人员为甲方提供1次解读培训服务，解读国办政府网站检查指标体系、细则及泰州市政府网站群季度监测工作安排和要求。</w:t>
      </w:r>
    </w:p>
    <w:p>
      <w:pPr>
        <w:ind w:firstLine="562" w:firstLineChars="200"/>
        <w:outlineLvl w:val="2"/>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3、项目成果</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（1）</w:t>
      </w:r>
      <w:r>
        <w:rPr>
          <w:rFonts w:ascii="宋体" w:hAnsi="宋体" w:eastAsia="宋体" w:cs="宋体"/>
          <w:color w:val="000000" w:themeColor="text1"/>
          <w:kern w:val="0"/>
          <w:sz w:val="28"/>
          <w:szCs w:val="28"/>
          <w14:textFill>
            <w14:solidFill>
              <w14:schemeClr w14:val="tx1"/>
            </w14:solidFill>
          </w14:textFill>
        </w:rPr>
        <w:t>《各单位网站季度监测报告》（4个季度，</w:t>
      </w:r>
      <w:r>
        <w:rPr>
          <w:rFonts w:hint="eastAsia" w:ascii="宋体" w:hAnsi="宋体" w:eastAsia="宋体" w:cs="宋体"/>
          <w:color w:val="000000" w:themeColor="text1"/>
          <w:kern w:val="0"/>
          <w:sz w:val="28"/>
          <w:szCs w:val="28"/>
          <w14:textFill>
            <w14:solidFill>
              <w14:schemeClr w14:val="tx1"/>
            </w14:solidFill>
          </w14:textFill>
        </w:rPr>
        <w:t>每个</w:t>
      </w:r>
      <w:r>
        <w:rPr>
          <w:rFonts w:ascii="宋体" w:hAnsi="宋体" w:eastAsia="宋体" w:cs="宋体"/>
          <w:color w:val="000000" w:themeColor="text1"/>
          <w:kern w:val="0"/>
          <w:sz w:val="28"/>
          <w:szCs w:val="28"/>
          <w14:textFill>
            <w14:solidFill>
              <w14:schemeClr w14:val="tx1"/>
            </w14:solidFill>
          </w14:textFill>
        </w:rPr>
        <w:t>季度</w:t>
      </w:r>
      <w:r>
        <w:rPr>
          <w:rFonts w:hint="eastAsia" w:ascii="宋体" w:hAnsi="宋体" w:eastAsia="宋体" w:cs="宋体"/>
          <w:color w:val="000000" w:themeColor="text1"/>
          <w:kern w:val="0"/>
          <w:sz w:val="28"/>
          <w:szCs w:val="28"/>
          <w14:textFill>
            <w14:solidFill>
              <w14:schemeClr w14:val="tx1"/>
            </w14:solidFill>
          </w14:textFill>
        </w:rPr>
        <w:t>1轮次</w:t>
      </w:r>
      <w:r>
        <w:rPr>
          <w:rFonts w:ascii="宋体" w:hAnsi="宋体" w:eastAsia="宋体" w:cs="宋体"/>
          <w:color w:val="000000" w:themeColor="text1"/>
          <w:kern w:val="0"/>
          <w:sz w:val="28"/>
          <w:szCs w:val="28"/>
          <w14:textFill>
            <w14:solidFill>
              <w14:schemeClr w14:val="tx1"/>
            </w14:solidFill>
          </w14:textFill>
        </w:rPr>
        <w:t>）</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（2）</w:t>
      </w:r>
      <w:r>
        <w:rPr>
          <w:rFonts w:ascii="宋体" w:hAnsi="宋体" w:eastAsia="宋体" w:cs="宋体"/>
          <w:color w:val="000000" w:themeColor="text1"/>
          <w:kern w:val="0"/>
          <w:sz w:val="28"/>
          <w:szCs w:val="28"/>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全市政府网站监测情况的通报</w:t>
      </w:r>
      <w:r>
        <w:rPr>
          <w:rFonts w:ascii="宋体" w:hAnsi="宋体" w:eastAsia="宋体" w:cs="宋体"/>
          <w:color w:val="000000" w:themeColor="text1"/>
          <w:kern w:val="0"/>
          <w:sz w:val="28"/>
          <w:szCs w:val="28"/>
          <w14:textFill>
            <w14:solidFill>
              <w14:schemeClr w14:val="tx1"/>
            </w14:solidFill>
          </w14:textFill>
        </w:rPr>
        <w:t>》（4个季度</w:t>
      </w:r>
      <w:r>
        <w:rPr>
          <w:rFonts w:hint="eastAsia" w:ascii="宋体" w:hAnsi="宋体" w:eastAsia="宋体" w:cs="宋体"/>
          <w:color w:val="000000" w:themeColor="text1"/>
          <w:kern w:val="0"/>
          <w:sz w:val="28"/>
          <w:szCs w:val="28"/>
          <w14:textFill>
            <w14:solidFill>
              <w14:schemeClr w14:val="tx1"/>
            </w14:solidFill>
          </w14:textFill>
        </w:rPr>
        <w:t>，每个季度</w:t>
      </w:r>
      <w:r>
        <w:rPr>
          <w:rFonts w:ascii="宋体" w:hAnsi="宋体" w:eastAsia="宋体" w:cs="宋体"/>
          <w:color w:val="000000" w:themeColor="text1"/>
          <w:kern w:val="0"/>
          <w:sz w:val="28"/>
          <w:szCs w:val="28"/>
          <w14:textFill>
            <w14:solidFill>
              <w14:schemeClr w14:val="tx1"/>
            </w14:solidFill>
          </w14:textFill>
        </w:rPr>
        <w:t>1期）</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3</w:t>
      </w: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《政府网站检查指标解读PPT》</w:t>
      </w:r>
    </w:p>
    <w:p>
      <w:pPr>
        <w:ind w:firstLine="560" w:firstLineChars="200"/>
        <w:outlineLvl w:val="1"/>
        <w:rPr>
          <w:rFonts w:ascii="黑体" w:hAnsi="黑体" w:eastAsia="黑体" w:cs="宋体"/>
          <w:color w:val="000000" w:themeColor="text1"/>
          <w:kern w:val="0"/>
          <w:sz w:val="28"/>
          <w:szCs w:val="28"/>
          <w14:textFill>
            <w14:solidFill>
              <w14:schemeClr w14:val="tx1"/>
            </w14:solidFill>
          </w14:textFill>
        </w:rPr>
      </w:pPr>
      <w:r>
        <w:rPr>
          <w:rFonts w:hint="eastAsia" w:ascii="黑体" w:hAnsi="黑体" w:eastAsia="黑体" w:cs="宋体"/>
          <w:color w:val="000000" w:themeColor="text1"/>
          <w:kern w:val="0"/>
          <w:sz w:val="28"/>
          <w:szCs w:val="28"/>
          <w14:textFill>
            <w14:solidFill>
              <w14:schemeClr w14:val="tx1"/>
            </w14:solidFill>
          </w14:textFill>
        </w:rPr>
        <w:t>（二）有关说明</w:t>
      </w:r>
      <w:r>
        <w:rPr>
          <w:rFonts w:ascii="黑体" w:hAnsi="黑体" w:eastAsia="黑体" w:cs="宋体"/>
          <w:color w:val="000000" w:themeColor="text1"/>
          <w:kern w:val="0"/>
          <w:sz w:val="28"/>
          <w:szCs w:val="28"/>
          <w14:textFill>
            <w14:solidFill>
              <w14:schemeClr w14:val="tx1"/>
            </w14:solidFill>
          </w14:textFill>
        </w:rPr>
        <w:t xml:space="preserve"> </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1、项目最高限价：26万元</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2、</w:t>
      </w:r>
      <w:r>
        <w:rPr>
          <w:rFonts w:ascii="宋体" w:hAnsi="宋体" w:eastAsia="宋体" w:cs="宋体"/>
          <w:color w:val="000000" w:themeColor="text1"/>
          <w:kern w:val="0"/>
          <w:sz w:val="28"/>
          <w:szCs w:val="28"/>
          <w14:textFill>
            <w14:solidFill>
              <w14:schemeClr w14:val="tx1"/>
            </w14:solidFill>
          </w14:textFill>
        </w:rPr>
        <w:t>服务期：</w:t>
      </w:r>
      <w:r>
        <w:rPr>
          <w:rFonts w:hint="eastAsia" w:ascii="宋体" w:hAnsi="宋体" w:eastAsia="宋体" w:cs="宋体"/>
          <w:color w:val="000000" w:themeColor="text1"/>
          <w:kern w:val="0"/>
          <w:sz w:val="28"/>
          <w:szCs w:val="28"/>
          <w14:textFill>
            <w14:solidFill>
              <w14:schemeClr w14:val="tx1"/>
            </w14:solidFill>
          </w14:textFill>
        </w:rPr>
        <w:t>1</w:t>
      </w:r>
      <w:r>
        <w:rPr>
          <w:rFonts w:ascii="宋体" w:hAnsi="宋体" w:eastAsia="宋体" w:cs="宋体"/>
          <w:color w:val="000000" w:themeColor="text1"/>
          <w:kern w:val="0"/>
          <w:sz w:val="28"/>
          <w:szCs w:val="28"/>
          <w14:textFill>
            <w14:solidFill>
              <w14:schemeClr w14:val="tx1"/>
            </w14:solidFill>
          </w14:textFill>
        </w:rPr>
        <w:t>年</w:t>
      </w:r>
    </w:p>
    <w:p>
      <w:pPr>
        <w:ind w:firstLine="560" w:firstLineChars="200"/>
        <w:rPr>
          <w:rFonts w:ascii="黑体" w:hAnsi="黑体" w:eastAsia="黑体" w:cs="黑体"/>
          <w:color w:val="000000" w:themeColor="text1"/>
          <w:sz w:val="30"/>
          <w:szCs w:val="30"/>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3、</w:t>
      </w:r>
      <w:r>
        <w:rPr>
          <w:rFonts w:ascii="宋体" w:hAnsi="宋体" w:eastAsia="宋体" w:cs="宋体"/>
          <w:color w:val="000000" w:themeColor="text1"/>
          <w:kern w:val="0"/>
          <w:sz w:val="28"/>
          <w:szCs w:val="28"/>
          <w14:textFill>
            <w14:solidFill>
              <w14:schemeClr w14:val="tx1"/>
            </w14:solidFill>
          </w14:textFill>
        </w:rPr>
        <w:t>付款方式：合同签订后30个工作日内</w:t>
      </w: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支付</w:t>
      </w:r>
      <w:r>
        <w:rPr>
          <w:rFonts w:hint="eastAsia" w:ascii="宋体" w:hAnsi="宋体" w:eastAsia="宋体" w:cs="宋体"/>
          <w:color w:val="000000" w:themeColor="text1"/>
          <w:kern w:val="0"/>
          <w:sz w:val="28"/>
          <w:szCs w:val="28"/>
          <w14:textFill>
            <w14:solidFill>
              <w14:schemeClr w14:val="tx1"/>
            </w14:solidFill>
          </w14:textFill>
        </w:rPr>
        <w:t>合同</w:t>
      </w:r>
      <w:r>
        <w:rPr>
          <w:rFonts w:ascii="宋体" w:hAnsi="宋体" w:eastAsia="宋体" w:cs="宋体"/>
          <w:color w:val="000000" w:themeColor="text1"/>
          <w:kern w:val="0"/>
          <w:sz w:val="28"/>
          <w:szCs w:val="28"/>
          <w14:textFill>
            <w14:solidFill>
              <w14:schemeClr w14:val="tx1"/>
            </w14:solidFill>
          </w14:textFill>
        </w:rPr>
        <w:t>总</w:t>
      </w:r>
      <w:r>
        <w:rPr>
          <w:rFonts w:hint="eastAsia" w:ascii="宋体" w:hAnsi="宋体" w:eastAsia="宋体" w:cs="宋体"/>
          <w:color w:val="000000" w:themeColor="text1"/>
          <w:kern w:val="0"/>
          <w:sz w:val="28"/>
          <w:szCs w:val="28"/>
          <w:lang w:eastAsia="zh-CN"/>
          <w14:textFill>
            <w14:solidFill>
              <w14:schemeClr w14:val="tx1"/>
            </w14:solidFill>
          </w14:textFill>
        </w:rPr>
        <w:t>价款</w:t>
      </w:r>
      <w:r>
        <w:rPr>
          <w:rFonts w:ascii="宋体" w:hAnsi="宋体" w:eastAsia="宋体" w:cs="宋体"/>
          <w:color w:val="000000" w:themeColor="text1"/>
          <w:kern w:val="0"/>
          <w:sz w:val="28"/>
          <w:szCs w:val="28"/>
          <w14:textFill>
            <w14:solidFill>
              <w14:schemeClr w14:val="tx1"/>
            </w14:solidFill>
          </w14:textFill>
        </w:rPr>
        <w:t>的60%；</w:t>
      </w:r>
      <w:r>
        <w:rPr>
          <w:rFonts w:hint="eastAsia" w:ascii="宋体" w:hAnsi="宋体" w:eastAsia="宋体" w:cs="宋体"/>
          <w:color w:val="000000" w:themeColor="text1"/>
          <w:kern w:val="0"/>
          <w:sz w:val="28"/>
          <w:szCs w:val="28"/>
          <w14:textFill>
            <w14:solidFill>
              <w14:schemeClr w14:val="tx1"/>
            </w14:solidFill>
          </w14:textFill>
        </w:rPr>
        <w:t>依据合同规定的服务内容和时间要求，提交全部成果物，</w:t>
      </w:r>
      <w:r>
        <w:rPr>
          <w:rFonts w:hint="eastAsia" w:ascii="宋体" w:hAnsi="宋体" w:eastAsia="宋体" w:cs="宋体"/>
          <w:color w:val="000000" w:themeColor="text1"/>
          <w:kern w:val="0"/>
          <w:sz w:val="28"/>
          <w:szCs w:val="28"/>
          <w:lang w:eastAsia="zh-CN"/>
          <w14:textFill>
            <w14:solidFill>
              <w14:schemeClr w14:val="tx1"/>
            </w14:solidFill>
          </w14:textFill>
        </w:rPr>
        <w:t>经甲方验收通过</w:t>
      </w:r>
      <w:r>
        <w:rPr>
          <w:rFonts w:hint="eastAsia" w:ascii="宋体" w:hAnsi="宋体" w:eastAsia="宋体" w:cs="宋体"/>
          <w:color w:val="000000" w:themeColor="text1"/>
          <w:kern w:val="0"/>
          <w:sz w:val="28"/>
          <w:szCs w:val="28"/>
          <w14:textFill>
            <w14:solidFill>
              <w14:schemeClr w14:val="tx1"/>
            </w14:solidFill>
          </w14:textFill>
        </w:rPr>
        <w:t>后</w:t>
      </w:r>
      <w:r>
        <w:rPr>
          <w:rFonts w:hint="eastAsia" w:ascii="宋体" w:hAnsi="宋体" w:eastAsia="宋体" w:cs="宋体"/>
          <w:color w:val="000000" w:themeColor="text1"/>
          <w:kern w:val="0"/>
          <w:sz w:val="28"/>
          <w:szCs w:val="28"/>
          <w:lang w:eastAsia="zh-CN"/>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支付合同</w:t>
      </w:r>
      <w:r>
        <w:rPr>
          <w:rFonts w:ascii="宋体" w:hAnsi="宋体" w:eastAsia="宋体" w:cs="宋体"/>
          <w:color w:val="000000" w:themeColor="text1"/>
          <w:kern w:val="0"/>
          <w:sz w:val="28"/>
          <w:szCs w:val="28"/>
          <w14:textFill>
            <w14:solidFill>
              <w14:schemeClr w14:val="tx1"/>
            </w14:solidFill>
          </w14:textFill>
        </w:rPr>
        <w:t>总</w:t>
      </w:r>
      <w:r>
        <w:rPr>
          <w:rFonts w:hint="eastAsia" w:ascii="宋体" w:hAnsi="宋体" w:eastAsia="宋体" w:cs="宋体"/>
          <w:color w:val="000000" w:themeColor="text1"/>
          <w:kern w:val="0"/>
          <w:sz w:val="28"/>
          <w:szCs w:val="28"/>
          <w:lang w:eastAsia="zh-CN"/>
          <w14:textFill>
            <w14:solidFill>
              <w14:schemeClr w14:val="tx1"/>
            </w14:solidFill>
          </w14:textFill>
        </w:rPr>
        <w:t>价款</w:t>
      </w:r>
      <w:r>
        <w:rPr>
          <w:rFonts w:hint="eastAsia" w:ascii="宋体" w:hAnsi="宋体" w:eastAsia="宋体" w:cs="宋体"/>
          <w:color w:val="000000" w:themeColor="text1"/>
          <w:kern w:val="0"/>
          <w:sz w:val="28"/>
          <w:szCs w:val="28"/>
          <w14:textFill>
            <w14:solidFill>
              <w14:schemeClr w14:val="tx1"/>
            </w14:solidFill>
          </w14:textFill>
        </w:rPr>
        <w:t>的</w:t>
      </w:r>
      <w:r>
        <w:rPr>
          <w:rFonts w:ascii="宋体" w:hAnsi="宋体" w:eastAsia="宋体" w:cs="宋体"/>
          <w:color w:val="000000" w:themeColor="text1"/>
          <w:kern w:val="0"/>
          <w:sz w:val="28"/>
          <w:szCs w:val="28"/>
          <w14:textFill>
            <w14:solidFill>
              <w14:schemeClr w14:val="tx1"/>
            </w14:solidFill>
          </w14:textFill>
        </w:rPr>
        <w:t>40%</w:t>
      </w:r>
      <w:r>
        <w:rPr>
          <w:rFonts w:hint="eastAsia" w:ascii="宋体" w:hAnsi="宋体" w:eastAsia="宋体" w:cs="宋体"/>
          <w:color w:val="000000" w:themeColor="text1"/>
          <w:kern w:val="0"/>
          <w:sz w:val="28"/>
          <w:szCs w:val="28"/>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（因为财政相关原因不能及时支付的，可以延期付款，甲方不构成违约。）</w:t>
      </w:r>
    </w:p>
    <w:p>
      <w:pPr>
        <w:pStyle w:val="3"/>
        <w:keepNext w:val="0"/>
        <w:pageBreakBefore/>
        <w:rPr>
          <w:rFonts w:ascii="Times New Roman" w:eastAsia="黑体"/>
          <w:b w:val="0"/>
          <w:bCs/>
          <w:color w:val="000000" w:themeColor="text1"/>
          <w14:textFill>
            <w14:solidFill>
              <w14:schemeClr w14:val="tx1"/>
            </w14:solidFill>
          </w14:textFill>
        </w:rPr>
      </w:pPr>
      <w:r>
        <w:rPr>
          <w:rFonts w:hint="eastAsia" w:ascii="Times New Roman" w:eastAsia="黑体"/>
          <w:b w:val="0"/>
          <w:bCs/>
          <w:color w:val="000000" w:themeColor="text1"/>
          <w14:textFill>
            <w14:solidFill>
              <w14:schemeClr w14:val="tx1"/>
            </w14:solidFill>
          </w14:textFill>
        </w:rPr>
        <w:t>四．</w:t>
      </w:r>
      <w:r>
        <w:rPr>
          <w:rFonts w:hint="eastAsia" w:ascii="Times New Roman" w:eastAsia="黑体"/>
          <w:b w:val="0"/>
          <w:color w:val="000000" w:themeColor="text1"/>
          <w14:textFill>
            <w14:solidFill>
              <w14:schemeClr w14:val="tx1"/>
            </w14:solidFill>
          </w14:textFill>
        </w:rPr>
        <w:t>合同书（格式文本）</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根据《中华人民共和国政府采购法》、《中华人民共和国合同法》等法律法规的规定，甲乙双方按照泰州市人民政府办公室的招标结果签订本合同。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下列关于泰州市政府采购XXX（项目编号）的采购文件、响应文件或与本次采购活动方式相适应的文件及有关附件是本合同不可分割的组成部分，与本合同具有同等法律效力，这些文件包括但不限于：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第八条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第九条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本合同一式两份，甲乙双方各执一份。</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五、附件</w:t>
      </w:r>
    </w:p>
    <w:p>
      <w:pPr>
        <w:jc w:val="left"/>
        <w:outlineLvl w:val="1"/>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附件一、评分标准</w:t>
      </w:r>
    </w:p>
    <w:tbl>
      <w:tblPr>
        <w:tblStyle w:val="6"/>
        <w:tblW w:w="906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66"/>
        <w:gridCol w:w="1418"/>
        <w:gridCol w:w="708"/>
        <w:gridCol w:w="567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blHeader/>
          <w:jc w:val="center"/>
        </w:trPr>
        <w:tc>
          <w:tcPr>
            <w:tcW w:w="1266"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类别</w:t>
            </w: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分项</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分值</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评分细则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3" w:hRule="atLeast"/>
          <w:jc w:val="center"/>
        </w:trPr>
        <w:tc>
          <w:tcPr>
            <w:tcW w:w="1266"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价格（</w:t>
            </w:r>
            <w:r>
              <w:rPr>
                <w:rFonts w:ascii="宋体" w:hAnsi="宋体" w:eastAsia="宋体" w:cs="黑体"/>
                <w:b/>
                <w:bCs/>
                <w:color w:val="000000" w:themeColor="text1"/>
                <w:kern w:val="0"/>
                <w:sz w:val="24"/>
                <w:szCs w:val="24"/>
                <w14:textFill>
                  <w14:solidFill>
                    <w14:schemeClr w14:val="tx1"/>
                  </w14:solidFill>
                </w14:textFill>
              </w:rPr>
              <w:t>1</w:t>
            </w:r>
            <w:r>
              <w:rPr>
                <w:rFonts w:hint="eastAsia" w:ascii="宋体" w:hAnsi="宋体" w:eastAsia="宋体" w:cs="黑体"/>
                <w:b/>
                <w:bCs/>
                <w:color w:val="000000" w:themeColor="text1"/>
                <w:kern w:val="0"/>
                <w:sz w:val="24"/>
                <w:szCs w:val="24"/>
                <w14:textFill>
                  <w14:solidFill>
                    <w14:schemeClr w14:val="tx1"/>
                  </w14:solidFill>
                </w14:textFill>
              </w:rPr>
              <w:t>0）</w:t>
            </w: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报价</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10</w:t>
            </w:r>
          </w:p>
        </w:tc>
        <w:tc>
          <w:tcPr>
            <w:tcW w:w="5670" w:type="dxa"/>
            <w:tcBorders>
              <w:top w:val="single" w:color="auto" w:sz="8" w:space="0"/>
              <w:left w:val="single" w:color="auto" w:sz="8" w:space="0"/>
              <w:bottom w:val="single" w:color="auto" w:sz="8" w:space="0"/>
              <w:right w:val="single" w:color="auto" w:sz="8" w:space="0"/>
            </w:tcBorders>
          </w:tcPr>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各投标人的有效投标报价，满足招标文件要求的最低投标报价为评标基准价，其价格为</w:t>
            </w:r>
            <w:r>
              <w:rPr>
                <w:rFonts w:ascii="宋体" w:hAnsi="宋体" w:eastAsia="宋体" w:cs="黑体"/>
                <w:color w:val="000000" w:themeColor="text1"/>
                <w:kern w:val="0"/>
                <w:sz w:val="24"/>
                <w:szCs w:val="24"/>
                <w14:textFill>
                  <w14:solidFill>
                    <w14:schemeClr w14:val="tx1"/>
                  </w14:solidFill>
                </w14:textFill>
              </w:rPr>
              <w:t xml:space="preserve">10分。其它人的价格分统一按照下列公式计算，最高得分为10分： </w:t>
            </w:r>
          </w:p>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投标报价得分</w:t>
            </w:r>
            <w:r>
              <w:rPr>
                <w:rFonts w:ascii="宋体" w:hAnsi="宋体" w:eastAsia="宋体" w:cs="黑体"/>
                <w:color w:val="000000" w:themeColor="text1"/>
                <w:kern w:val="0"/>
                <w:sz w:val="24"/>
                <w:szCs w:val="24"/>
                <w14:textFill>
                  <w14:solidFill>
                    <w14:schemeClr w14:val="tx1"/>
                  </w14:solidFill>
                </w14:textFill>
              </w:rPr>
              <w:t>=（投标基准价/投标报价）×价格权值×100；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23" w:hRule="atLeast"/>
          <w:jc w:val="center"/>
        </w:trPr>
        <w:tc>
          <w:tcPr>
            <w:tcW w:w="1266" w:type="dxa"/>
            <w:vMerge w:val="restart"/>
            <w:tcBorders>
              <w:left w:val="single" w:color="auto" w:sz="8" w:space="0"/>
              <w:right w:val="single" w:color="auto" w:sz="8" w:space="0"/>
            </w:tcBorders>
            <w:vAlign w:val="center"/>
          </w:tcPr>
          <w:p>
            <w:pPr>
              <w:widowControl/>
              <w:jc w:val="center"/>
              <w:rPr>
                <w:rFonts w:hint="eastAsia" w:ascii="宋体" w:hAnsi="宋体" w:eastAsia="宋体" w:cs="黑体"/>
                <w:b/>
                <w:bCs/>
                <w:color w:val="000000" w:themeColor="text1"/>
                <w:kern w:val="0"/>
                <w:sz w:val="24"/>
                <w:szCs w:val="24"/>
                <w:lang w:eastAsia="zh-CN"/>
                <w14:textFill>
                  <w14:solidFill>
                    <w14:schemeClr w14:val="tx1"/>
                  </w14:solidFill>
                </w14:textFill>
              </w:rPr>
            </w:pPr>
            <w:r>
              <w:rPr>
                <w:rFonts w:hint="eastAsia" w:ascii="宋体" w:hAnsi="宋体" w:eastAsia="宋体" w:cs="黑体"/>
                <w:b/>
                <w:bCs/>
                <w:color w:val="000000" w:themeColor="text1"/>
                <w:kern w:val="0"/>
                <w:sz w:val="24"/>
                <w:szCs w:val="24"/>
                <w:lang w:eastAsia="zh-CN"/>
                <w14:textFill>
                  <w14:solidFill>
                    <w14:schemeClr w14:val="tx1"/>
                  </w14:solidFill>
                </w14:textFill>
              </w:rPr>
              <w:t>商务</w:t>
            </w:r>
          </w:p>
          <w:p>
            <w:pPr>
              <w:widowControl/>
              <w:jc w:val="center"/>
              <w:rPr>
                <w:rFonts w:hint="eastAsia" w:ascii="宋体" w:hAnsi="宋体" w:eastAsia="宋体" w:cs="黑体"/>
                <w:b/>
                <w:bCs/>
                <w:color w:val="000000" w:themeColor="text1"/>
                <w:kern w:val="0"/>
                <w:sz w:val="24"/>
                <w:szCs w:val="24"/>
                <w:lang w:eastAsia="zh-CN"/>
                <w14:textFill>
                  <w14:solidFill>
                    <w14:schemeClr w14:val="tx1"/>
                  </w14:solidFill>
                </w14:textFill>
              </w:rPr>
            </w:pPr>
            <w:r>
              <w:rPr>
                <w:rFonts w:hint="eastAsia" w:ascii="宋体" w:hAnsi="宋体" w:eastAsia="宋体" w:cs="黑体"/>
                <w:b/>
                <w:bCs/>
                <w:color w:val="000000" w:themeColor="text1"/>
                <w:kern w:val="0"/>
                <w:sz w:val="24"/>
                <w:szCs w:val="24"/>
                <w:lang w:eastAsia="zh-CN"/>
                <w14:textFill>
                  <w14:solidFill>
                    <w14:schemeClr w14:val="tx1"/>
                  </w14:solidFill>
                </w14:textFill>
              </w:rPr>
              <w:t>（</w:t>
            </w:r>
            <w:r>
              <w:rPr>
                <w:rFonts w:hint="eastAsia" w:ascii="宋体" w:hAnsi="宋体" w:eastAsia="宋体" w:cs="黑体"/>
                <w:b/>
                <w:bCs/>
                <w:color w:val="000000" w:themeColor="text1"/>
                <w:kern w:val="0"/>
                <w:sz w:val="24"/>
                <w:szCs w:val="24"/>
                <w:lang w:val="en-US" w:eastAsia="zh-CN"/>
                <w14:textFill>
                  <w14:solidFill>
                    <w14:schemeClr w14:val="tx1"/>
                  </w14:solidFill>
                </w14:textFill>
              </w:rPr>
              <w:t>20</w:t>
            </w:r>
            <w:r>
              <w:rPr>
                <w:rFonts w:hint="eastAsia" w:ascii="宋体" w:hAnsi="宋体" w:eastAsia="宋体" w:cs="黑体"/>
                <w:b/>
                <w:bCs/>
                <w:color w:val="000000" w:themeColor="text1"/>
                <w:kern w:val="0"/>
                <w:sz w:val="24"/>
                <w:szCs w:val="24"/>
                <w:lang w:eastAsia="zh-CN"/>
                <w14:textFill>
                  <w14:solidFill>
                    <w14:schemeClr w14:val="tx1"/>
                  </w14:solidFill>
                </w14:textFill>
              </w:rPr>
              <w:t>）</w:t>
            </w:r>
          </w:p>
        </w:tc>
        <w:tc>
          <w:tcPr>
            <w:tcW w:w="1418" w:type="dxa"/>
            <w:tcBorders>
              <w:top w:val="single" w:color="auto" w:sz="8" w:space="0"/>
              <w:left w:val="single" w:color="auto" w:sz="8" w:space="0"/>
              <w:right w:val="single" w:color="auto" w:sz="8" w:space="0"/>
            </w:tcBorders>
            <w:vAlign w:val="center"/>
          </w:tcPr>
          <w:p>
            <w:pPr>
              <w:widowControl/>
              <w:jc w:val="center"/>
              <w:rPr>
                <w:rFonts w:hint="eastAsia" w:ascii="宋体" w:hAnsi="宋体" w:eastAsia="宋体" w:cs="黑体"/>
                <w:color w:val="000000" w:themeColor="text1"/>
                <w:kern w:val="0"/>
                <w:sz w:val="24"/>
                <w:szCs w:val="24"/>
                <w:lang w:eastAsia="zh-CN"/>
                <w14:textFill>
                  <w14:solidFill>
                    <w14:schemeClr w14:val="tx1"/>
                  </w14:solidFill>
                </w14:textFill>
              </w:rPr>
            </w:pPr>
            <w:r>
              <w:rPr>
                <w:rFonts w:hint="eastAsia" w:ascii="宋体" w:hAnsi="宋体" w:eastAsia="宋体" w:cs="黑体"/>
                <w:color w:val="000000" w:themeColor="text1"/>
                <w:kern w:val="0"/>
                <w:sz w:val="24"/>
                <w:szCs w:val="24"/>
                <w:lang w:eastAsia="zh-CN"/>
                <w14:textFill>
                  <w14:solidFill>
                    <w14:schemeClr w14:val="tx1"/>
                  </w14:solidFill>
                </w14:textFill>
              </w:rPr>
              <w:t>资质</w:t>
            </w:r>
          </w:p>
        </w:tc>
        <w:tc>
          <w:tcPr>
            <w:tcW w:w="708" w:type="dxa"/>
            <w:tcBorders>
              <w:top w:val="single" w:color="auto" w:sz="8" w:space="0"/>
              <w:left w:val="single" w:color="auto" w:sz="8" w:space="0"/>
              <w:right w:val="single" w:color="auto" w:sz="8" w:space="0"/>
            </w:tcBorders>
            <w:vAlign w:val="center"/>
          </w:tcPr>
          <w:p>
            <w:pPr>
              <w:widowControl/>
              <w:jc w:val="center"/>
              <w:rPr>
                <w:rFonts w:hint="eastAsia" w:ascii="宋体" w:hAnsi="宋体" w:eastAsia="宋体" w:cs="黑体"/>
                <w:color w:val="000000" w:themeColor="text1"/>
                <w:kern w:val="0"/>
                <w:sz w:val="24"/>
                <w:szCs w:val="24"/>
                <w:lang w:eastAsia="zh-CN"/>
                <w14:textFill>
                  <w14:solidFill>
                    <w14:schemeClr w14:val="tx1"/>
                  </w14:solidFill>
                </w14:textFill>
              </w:rPr>
            </w:pPr>
            <w:r>
              <w:rPr>
                <w:rFonts w:hint="eastAsia" w:ascii="宋体" w:hAnsi="宋体" w:eastAsia="宋体" w:cs="黑体"/>
                <w:color w:val="000000" w:themeColor="text1"/>
                <w:kern w:val="0"/>
                <w:sz w:val="24"/>
                <w:szCs w:val="24"/>
                <w:lang w:val="en-US" w:eastAsia="zh-CN"/>
                <w14:textFill>
                  <w14:solidFill>
                    <w14:schemeClr w14:val="tx1"/>
                  </w14:solidFill>
                </w14:textFill>
              </w:rPr>
              <w:t>8</w:t>
            </w:r>
          </w:p>
        </w:tc>
        <w:tc>
          <w:tcPr>
            <w:tcW w:w="5670" w:type="dxa"/>
            <w:tcBorders>
              <w:top w:val="single" w:color="auto" w:sz="8" w:space="0"/>
              <w:left w:val="single" w:color="auto" w:sz="8" w:space="0"/>
              <w:right w:val="single" w:color="auto" w:sz="8" w:space="0"/>
            </w:tcBorders>
            <w:vAlign w:val="center"/>
          </w:tcPr>
          <w:p>
            <w:pPr>
              <w:widowControl/>
              <w:jc w:val="both"/>
              <w:rPr>
                <w:rFonts w:hint="eastAsia"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根据投标人提供的ISO9001：2008质量管理体系认证证书、ISO27001:2013信息安全管理体系认证证书、ISO20000信息技术服务管理体系标准</w:t>
            </w:r>
            <w:r>
              <w:rPr>
                <w:rFonts w:hint="eastAsia" w:ascii="宋体" w:hAnsi="宋体" w:eastAsia="宋体" w:cs="黑体"/>
                <w:color w:val="000000" w:themeColor="text1"/>
                <w:kern w:val="0"/>
                <w:sz w:val="24"/>
                <w:szCs w:val="24"/>
                <w:lang w:eastAsia="zh-CN"/>
                <w14:textFill>
                  <w14:solidFill>
                    <w14:schemeClr w14:val="tx1"/>
                  </w14:solidFill>
                </w14:textFill>
              </w:rPr>
              <w:t>证书、CNAS或CMA检验检测资质证书</w:t>
            </w:r>
            <w:r>
              <w:rPr>
                <w:rFonts w:hint="eastAsia" w:ascii="宋体" w:hAnsi="宋体" w:eastAsia="宋体" w:cs="黑体"/>
                <w:color w:val="000000" w:themeColor="text1"/>
                <w:kern w:val="0"/>
                <w:sz w:val="24"/>
                <w:szCs w:val="24"/>
                <w14:textFill>
                  <w14:solidFill>
                    <w14:schemeClr w14:val="tx1"/>
                  </w14:solidFill>
                </w14:textFill>
              </w:rPr>
              <w:t>，每提供一个得2分，最多得</w:t>
            </w:r>
            <w:r>
              <w:rPr>
                <w:rFonts w:hint="eastAsia" w:ascii="宋体" w:hAnsi="宋体" w:eastAsia="宋体" w:cs="黑体"/>
                <w:color w:val="000000" w:themeColor="text1"/>
                <w:kern w:val="0"/>
                <w:sz w:val="24"/>
                <w:szCs w:val="24"/>
                <w:lang w:val="en-US" w:eastAsia="zh-CN"/>
                <w14:textFill>
                  <w14:solidFill>
                    <w14:schemeClr w14:val="tx1"/>
                  </w14:solidFill>
                </w14:textFill>
              </w:rPr>
              <w:t>8</w:t>
            </w:r>
            <w:r>
              <w:rPr>
                <w:rFonts w:hint="eastAsia" w:ascii="宋体" w:hAnsi="宋体" w:eastAsia="宋体" w:cs="黑体"/>
                <w:color w:val="000000" w:themeColor="text1"/>
                <w:kern w:val="0"/>
                <w:sz w:val="24"/>
                <w:szCs w:val="24"/>
                <w14:textFill>
                  <w14:solidFill>
                    <w14:schemeClr w14:val="tx1"/>
                  </w14:solidFill>
                </w14:textFill>
              </w:rPr>
              <w:t>分。</w:t>
            </w:r>
          </w:p>
          <w:p>
            <w:pPr>
              <w:widowControl/>
              <w:jc w:val="both"/>
              <w:rPr>
                <w:rFonts w:hint="eastAsia" w:ascii="宋体" w:hAnsi="宋体" w:eastAsia="宋体" w:cs="黑体"/>
                <w:color w:val="000000" w:themeColor="text1"/>
                <w:kern w:val="0"/>
                <w:sz w:val="24"/>
                <w:szCs w:val="24"/>
                <w:lang w:val="en-US" w:eastAsia="zh-CN"/>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（须提供证书复印件并加盖公章）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23" w:hRule="atLeast"/>
          <w:jc w:val="center"/>
        </w:trPr>
        <w:tc>
          <w:tcPr>
            <w:tcW w:w="1266" w:type="dxa"/>
            <w:vMerge w:val="continue"/>
            <w:tcBorders>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p>
        </w:tc>
        <w:tc>
          <w:tcPr>
            <w:tcW w:w="1418" w:type="dxa"/>
            <w:tcBorders>
              <w:top w:val="single" w:color="auto" w:sz="8" w:space="0"/>
              <w:left w:val="single" w:color="auto" w:sz="8" w:space="0"/>
              <w:right w:val="single" w:color="auto" w:sz="8" w:space="0"/>
            </w:tcBorders>
            <w:vAlign w:val="center"/>
          </w:tcPr>
          <w:p>
            <w:pPr>
              <w:widowControl/>
              <w:jc w:val="center"/>
              <w:rPr>
                <w:rFonts w:hint="eastAsia"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案例</w:t>
            </w:r>
          </w:p>
        </w:tc>
        <w:tc>
          <w:tcPr>
            <w:tcW w:w="708" w:type="dxa"/>
            <w:tcBorders>
              <w:top w:val="single" w:color="auto" w:sz="8" w:space="0"/>
              <w:left w:val="single" w:color="auto" w:sz="8" w:space="0"/>
              <w:right w:val="single" w:color="auto" w:sz="8" w:space="0"/>
            </w:tcBorders>
            <w:vAlign w:val="center"/>
          </w:tcPr>
          <w:p>
            <w:pPr>
              <w:widowControl/>
              <w:jc w:val="center"/>
              <w:rPr>
                <w:rFonts w:hint="default" w:ascii="宋体" w:hAnsi="宋体" w:eastAsia="宋体" w:cs="黑体"/>
                <w:color w:val="000000" w:themeColor="text1"/>
                <w:kern w:val="0"/>
                <w:sz w:val="24"/>
                <w:szCs w:val="24"/>
                <w:lang w:val="en-US" w:eastAsia="zh-CN"/>
                <w14:textFill>
                  <w14:solidFill>
                    <w14:schemeClr w14:val="tx1"/>
                  </w14:solidFill>
                </w14:textFill>
              </w:rPr>
            </w:pPr>
            <w:r>
              <w:rPr>
                <w:rFonts w:hint="eastAsia" w:ascii="宋体" w:hAnsi="宋体" w:eastAsia="宋体" w:cs="黑体"/>
                <w:color w:val="000000" w:themeColor="text1"/>
                <w:kern w:val="0"/>
                <w:sz w:val="24"/>
                <w:szCs w:val="24"/>
                <w:lang w:val="en-US" w:eastAsia="zh-CN"/>
                <w14:textFill>
                  <w14:solidFill>
                    <w14:schemeClr w14:val="tx1"/>
                  </w14:solidFill>
                </w14:textFill>
              </w:rPr>
              <w:t>12</w:t>
            </w:r>
          </w:p>
        </w:tc>
        <w:tc>
          <w:tcPr>
            <w:tcW w:w="5670" w:type="dxa"/>
            <w:tcBorders>
              <w:top w:val="single" w:color="auto" w:sz="8" w:space="0"/>
              <w:left w:val="single" w:color="auto" w:sz="8" w:space="0"/>
              <w:right w:val="single" w:color="auto" w:sz="8" w:space="0"/>
            </w:tcBorders>
            <w:vAlign w:val="center"/>
          </w:tcPr>
          <w:p>
            <w:pPr>
              <w:widowControl/>
              <w:jc w:val="left"/>
              <w:rPr>
                <w:rFonts w:hint="eastAsia" w:ascii="宋体" w:hAnsi="宋体" w:eastAsia="宋体" w:cs="黑体"/>
                <w:color w:val="000000" w:themeColor="text1"/>
                <w:kern w:val="0"/>
                <w:sz w:val="24"/>
                <w:szCs w:val="24"/>
                <w:lang w:val="en-US" w:eastAsia="zh-CN"/>
                <w14:textFill>
                  <w14:solidFill>
                    <w14:schemeClr w14:val="tx1"/>
                  </w14:solidFill>
                </w14:textFill>
              </w:rPr>
            </w:pPr>
            <w:r>
              <w:rPr>
                <w:rFonts w:hint="eastAsia" w:ascii="宋体" w:hAnsi="宋体" w:eastAsia="宋体" w:cs="黑体"/>
                <w:color w:val="FF0000"/>
                <w:kern w:val="0"/>
                <w:sz w:val="24"/>
                <w:szCs w:val="24"/>
                <w:lang w:val="en-US" w:eastAsia="zh-CN"/>
              </w:rPr>
              <w:t>2019年1月1日以来</w:t>
            </w:r>
            <w:r>
              <w:rPr>
                <w:rFonts w:hint="eastAsia" w:ascii="宋体" w:hAnsi="宋体" w:eastAsia="宋体" w:cs="黑体"/>
                <w:color w:val="000000" w:themeColor="text1"/>
                <w:kern w:val="0"/>
                <w:sz w:val="24"/>
                <w:szCs w:val="24"/>
                <w:lang w:val="en-US" w:eastAsia="zh-CN"/>
                <w14:textFill>
                  <w14:solidFill>
                    <w14:schemeClr w14:val="tx1"/>
                  </w14:solidFill>
                </w14:textFill>
              </w:rPr>
              <w:t>，</w:t>
            </w:r>
            <w:r>
              <w:rPr>
                <w:rFonts w:hint="eastAsia" w:ascii="宋体" w:hAnsi="宋体" w:eastAsia="宋体" w:cs="黑体"/>
                <w:color w:val="000000" w:themeColor="text1"/>
                <w:kern w:val="0"/>
                <w:sz w:val="24"/>
                <w:szCs w:val="24"/>
                <w14:textFill>
                  <w14:solidFill>
                    <w14:schemeClr w14:val="tx1"/>
                  </w14:solidFill>
                </w14:textFill>
              </w:rPr>
              <w:t>投标人开展过gov.cn类域名网站工作的同类成功案例</w:t>
            </w:r>
            <w:r>
              <w:rPr>
                <w:rFonts w:hint="eastAsia" w:ascii="宋体" w:hAnsi="宋体" w:eastAsia="宋体" w:cs="黑体"/>
                <w:color w:val="000000" w:themeColor="text1"/>
                <w:kern w:val="0"/>
                <w:sz w:val="24"/>
                <w:szCs w:val="24"/>
                <w:lang w:eastAsia="zh-CN"/>
                <w14:textFill>
                  <w14:solidFill>
                    <w14:schemeClr w14:val="tx1"/>
                  </w14:solidFill>
                </w14:textFill>
              </w:rPr>
              <w:t>，包括</w:t>
            </w:r>
            <w:r>
              <w:rPr>
                <w:rFonts w:hint="eastAsia" w:ascii="宋体" w:hAnsi="宋体" w:eastAsia="宋体" w:cs="黑体"/>
                <w:color w:val="000000" w:themeColor="text1"/>
                <w:kern w:val="0"/>
                <w:sz w:val="24"/>
                <w:szCs w:val="24"/>
                <w14:textFill>
                  <w14:solidFill>
                    <w14:schemeClr w14:val="tx1"/>
                  </w14:solidFill>
                </w14:textFill>
              </w:rPr>
              <w:t>网站检查监测、网站绩效评估、网站优化改版咨询</w:t>
            </w:r>
            <w:r>
              <w:rPr>
                <w:rFonts w:hint="eastAsia" w:ascii="宋体" w:hAnsi="宋体" w:eastAsia="宋体" w:cs="黑体"/>
                <w:color w:val="000000" w:themeColor="text1"/>
                <w:kern w:val="0"/>
                <w:sz w:val="24"/>
                <w:szCs w:val="24"/>
                <w:lang w:eastAsia="zh-CN"/>
                <w14:textFill>
                  <w14:solidFill>
                    <w14:schemeClr w14:val="tx1"/>
                  </w14:solidFill>
                </w14:textFill>
              </w:rPr>
              <w:t>等，每提供</w:t>
            </w:r>
            <w:r>
              <w:rPr>
                <w:rFonts w:hint="eastAsia" w:ascii="宋体" w:hAnsi="宋体" w:eastAsia="宋体" w:cs="黑体"/>
                <w:color w:val="000000" w:themeColor="text1"/>
                <w:kern w:val="0"/>
                <w:sz w:val="24"/>
                <w:szCs w:val="24"/>
                <w:lang w:val="en-US" w:eastAsia="zh-CN"/>
                <w14:textFill>
                  <w14:solidFill>
                    <w14:schemeClr w14:val="tx1"/>
                  </w14:solidFill>
                </w14:textFill>
              </w:rPr>
              <w:t>1个得3分，最多得12分。</w:t>
            </w:r>
          </w:p>
          <w:p>
            <w:pPr>
              <w:widowControl/>
              <w:jc w:val="left"/>
              <w:rPr>
                <w:rFonts w:hint="eastAsia"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lang w:val="en-US" w:eastAsia="zh-CN"/>
                <w14:textFill>
                  <w14:solidFill>
                    <w14:schemeClr w14:val="tx1"/>
                  </w14:solidFill>
                </w14:textFill>
              </w:rPr>
              <w:t>（需提供合同复印件并加盖公章）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82" w:hRule="atLeast"/>
          <w:jc w:val="center"/>
        </w:trPr>
        <w:tc>
          <w:tcPr>
            <w:tcW w:w="1266" w:type="dxa"/>
            <w:tcBorders>
              <w:left w:val="single" w:color="auto" w:sz="8" w:space="0"/>
              <w:bottom w:val="single" w:color="auto" w:sz="8" w:space="0"/>
              <w:right w:val="single" w:color="auto" w:sz="8" w:space="0"/>
            </w:tcBorders>
            <w:vAlign w:val="center"/>
          </w:tcPr>
          <w:p>
            <w:pPr>
              <w:widowControl/>
              <w:jc w:val="center"/>
              <w:rPr>
                <w:rFonts w:hint="eastAsia" w:ascii="宋体" w:hAnsi="宋体" w:eastAsia="宋体" w:cs="黑体"/>
                <w:b/>
                <w:bCs/>
                <w:color w:val="000000" w:themeColor="text1"/>
                <w:kern w:val="0"/>
                <w:sz w:val="24"/>
                <w:szCs w:val="24"/>
                <w:lang w:eastAsia="zh-CN"/>
                <w14:textFill>
                  <w14:solidFill>
                    <w14:schemeClr w14:val="tx1"/>
                  </w14:solidFill>
                </w14:textFill>
              </w:rPr>
            </w:pPr>
            <w:r>
              <w:rPr>
                <w:rFonts w:hint="eastAsia" w:ascii="宋体" w:hAnsi="宋体" w:eastAsia="宋体" w:cs="黑体"/>
                <w:b/>
                <w:bCs/>
                <w:color w:val="000000" w:themeColor="text1"/>
                <w:kern w:val="0"/>
                <w:sz w:val="24"/>
                <w:szCs w:val="24"/>
                <w:lang w:eastAsia="zh-CN"/>
                <w14:textFill>
                  <w14:solidFill>
                    <w14:schemeClr w14:val="tx1"/>
                  </w14:solidFill>
                </w14:textFill>
              </w:rPr>
              <w:t>软著</w:t>
            </w:r>
          </w:p>
          <w:p>
            <w:pPr>
              <w:widowControl/>
              <w:jc w:val="center"/>
              <w:rPr>
                <w:rFonts w:hint="eastAsia" w:ascii="宋体" w:hAnsi="宋体" w:eastAsia="宋体" w:cs="黑体"/>
                <w:b/>
                <w:bCs/>
                <w:color w:val="000000" w:themeColor="text1"/>
                <w:kern w:val="0"/>
                <w:sz w:val="24"/>
                <w:szCs w:val="24"/>
                <w:lang w:eastAsia="zh-CN"/>
                <w14:textFill>
                  <w14:solidFill>
                    <w14:schemeClr w14:val="tx1"/>
                  </w14:solidFill>
                </w14:textFill>
              </w:rPr>
            </w:pPr>
            <w:r>
              <w:rPr>
                <w:rFonts w:hint="eastAsia" w:ascii="宋体" w:hAnsi="宋体" w:eastAsia="宋体" w:cs="黑体"/>
                <w:b/>
                <w:bCs/>
                <w:color w:val="000000" w:themeColor="text1"/>
                <w:kern w:val="0"/>
                <w:sz w:val="24"/>
                <w:szCs w:val="24"/>
                <w:lang w:eastAsia="zh-CN"/>
                <w14:textFill>
                  <w14:solidFill>
                    <w14:schemeClr w14:val="tx1"/>
                  </w14:solidFill>
                </w14:textFill>
              </w:rPr>
              <w:t>（</w:t>
            </w:r>
            <w:r>
              <w:rPr>
                <w:rFonts w:hint="eastAsia" w:ascii="宋体" w:hAnsi="宋体" w:eastAsia="宋体" w:cs="黑体"/>
                <w:b/>
                <w:bCs/>
                <w:color w:val="000000" w:themeColor="text1"/>
                <w:kern w:val="0"/>
                <w:sz w:val="24"/>
                <w:szCs w:val="24"/>
                <w:lang w:val="en-US" w:eastAsia="zh-CN"/>
                <w14:textFill>
                  <w14:solidFill>
                    <w14:schemeClr w14:val="tx1"/>
                  </w14:solidFill>
                </w14:textFill>
              </w:rPr>
              <w:t>12分</w:t>
            </w:r>
            <w:r>
              <w:rPr>
                <w:rFonts w:hint="eastAsia" w:ascii="宋体" w:hAnsi="宋体" w:eastAsia="宋体" w:cs="黑体"/>
                <w:b/>
                <w:bCs/>
                <w:color w:val="000000" w:themeColor="text1"/>
                <w:kern w:val="0"/>
                <w:sz w:val="24"/>
                <w:szCs w:val="24"/>
                <w:lang w:eastAsia="zh-CN"/>
                <w14:textFill>
                  <w14:solidFill>
                    <w14:schemeClr w14:val="tx1"/>
                  </w14:solidFill>
                </w14:textFill>
              </w:rPr>
              <w:t>）</w:t>
            </w:r>
          </w:p>
        </w:tc>
        <w:tc>
          <w:tcPr>
            <w:tcW w:w="1418" w:type="dxa"/>
            <w:tcBorders>
              <w:top w:val="single" w:color="auto" w:sz="8" w:space="0"/>
              <w:left w:val="single" w:color="auto" w:sz="8" w:space="0"/>
              <w:right w:val="single" w:color="auto" w:sz="8" w:space="0"/>
            </w:tcBorders>
            <w:vAlign w:val="center"/>
          </w:tcPr>
          <w:p>
            <w:pPr>
              <w:jc w:val="center"/>
              <w:rPr>
                <w:rFonts w:hint="eastAsia" w:ascii="宋体" w:hAnsi="宋体" w:eastAsia="宋体" w:cs="黑体"/>
                <w:color w:val="000000" w:themeColor="text1"/>
                <w:kern w:val="0"/>
                <w:sz w:val="24"/>
                <w:szCs w:val="24"/>
                <w:lang w:val="en-US" w:eastAsia="zh-CN" w:bidi="ar-SA"/>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知识产权</w:t>
            </w:r>
          </w:p>
        </w:tc>
        <w:tc>
          <w:tcPr>
            <w:tcW w:w="708" w:type="dxa"/>
            <w:tcBorders>
              <w:top w:val="single" w:color="auto" w:sz="8" w:space="0"/>
              <w:left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lang w:val="en-US" w:eastAsia="zh-CN" w:bidi="ar-SA"/>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12</w:t>
            </w:r>
          </w:p>
        </w:tc>
        <w:tc>
          <w:tcPr>
            <w:tcW w:w="5670" w:type="dxa"/>
            <w:tcBorders>
              <w:top w:val="single" w:color="auto" w:sz="8" w:space="0"/>
              <w:left w:val="single" w:color="auto" w:sz="8" w:space="0"/>
              <w:right w:val="single" w:color="auto" w:sz="8" w:space="0"/>
            </w:tcBorders>
            <w:vAlign w:val="center"/>
          </w:tcPr>
          <w:p>
            <w:pPr>
              <w:widowControl/>
              <w:jc w:val="left"/>
              <w:rPr>
                <w:rFonts w:hint="eastAsia" w:ascii="宋体" w:hAnsi="宋体" w:eastAsia="宋体" w:cs="黑体"/>
                <w:color w:val="000000" w:themeColor="text1"/>
                <w:kern w:val="0"/>
                <w:sz w:val="24"/>
                <w:szCs w:val="24"/>
                <w:lang w:val="en-US" w:eastAsia="zh-CN" w:bidi="ar-SA"/>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投标人提供与检查、检测相关的软件著作权登记证书的，每提供1个得</w:t>
            </w:r>
            <w:r>
              <w:rPr>
                <w:rFonts w:ascii="宋体" w:hAnsi="宋体" w:eastAsia="宋体" w:cs="黑体"/>
                <w:color w:val="000000" w:themeColor="text1"/>
                <w:kern w:val="0"/>
                <w:sz w:val="24"/>
                <w:szCs w:val="24"/>
                <w14:textFill>
                  <w14:solidFill>
                    <w14:schemeClr w14:val="tx1"/>
                  </w14:solidFill>
                </w14:textFill>
              </w:rPr>
              <w:t>4</w:t>
            </w:r>
            <w:r>
              <w:rPr>
                <w:rFonts w:hint="eastAsia" w:ascii="宋体" w:hAnsi="宋体" w:eastAsia="宋体" w:cs="黑体"/>
                <w:color w:val="000000" w:themeColor="text1"/>
                <w:kern w:val="0"/>
                <w:sz w:val="24"/>
                <w:szCs w:val="24"/>
                <w14:textFill>
                  <w14:solidFill>
                    <w14:schemeClr w14:val="tx1"/>
                  </w14:solidFill>
                </w14:textFill>
              </w:rPr>
              <w:t>分，最多得</w:t>
            </w:r>
            <w:r>
              <w:rPr>
                <w:rFonts w:ascii="宋体" w:hAnsi="宋体" w:eastAsia="宋体" w:cs="黑体"/>
                <w:color w:val="000000" w:themeColor="text1"/>
                <w:kern w:val="0"/>
                <w:sz w:val="24"/>
                <w:szCs w:val="24"/>
                <w14:textFill>
                  <w14:solidFill>
                    <w14:schemeClr w14:val="tx1"/>
                  </w14:solidFill>
                </w14:textFill>
              </w:rPr>
              <w:t>12</w:t>
            </w:r>
            <w:r>
              <w:rPr>
                <w:rFonts w:hint="eastAsia" w:ascii="宋体" w:hAnsi="宋体" w:eastAsia="宋体" w:cs="黑体"/>
                <w:color w:val="000000" w:themeColor="text1"/>
                <w:kern w:val="0"/>
                <w:sz w:val="24"/>
                <w:szCs w:val="24"/>
                <w14:textFill>
                  <w14:solidFill>
                    <w14:schemeClr w14:val="tx1"/>
                  </w14:solidFill>
                </w14:textFill>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82" w:hRule="atLeast"/>
          <w:jc w:val="center"/>
        </w:trPr>
        <w:tc>
          <w:tcPr>
            <w:tcW w:w="1266" w:type="dxa"/>
            <w:tcBorders>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扫描</w:t>
            </w:r>
          </w:p>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工具</w:t>
            </w:r>
          </w:p>
          <w:p>
            <w:pPr>
              <w:widowControl/>
              <w:rPr>
                <w:color w:val="000000" w:themeColor="text1"/>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（1</w:t>
            </w:r>
            <w:r>
              <w:rPr>
                <w:rFonts w:ascii="宋体" w:hAnsi="宋体" w:eastAsia="宋体" w:cs="黑体"/>
                <w:b/>
                <w:bCs/>
                <w:color w:val="000000" w:themeColor="text1"/>
                <w:kern w:val="0"/>
                <w:sz w:val="24"/>
                <w:szCs w:val="24"/>
                <w14:textFill>
                  <w14:solidFill>
                    <w14:schemeClr w14:val="tx1"/>
                  </w14:solidFill>
                </w14:textFill>
              </w:rPr>
              <w:t>5分</w:t>
            </w:r>
            <w:r>
              <w:rPr>
                <w:rFonts w:hint="eastAsia" w:ascii="宋体" w:hAnsi="宋体" w:eastAsia="宋体" w:cs="黑体"/>
                <w:b/>
                <w:bCs/>
                <w:color w:val="000000" w:themeColor="text1"/>
                <w:kern w:val="0"/>
                <w:sz w:val="24"/>
                <w:szCs w:val="24"/>
                <w14:textFill>
                  <w14:solidFill>
                    <w14:schemeClr w14:val="tx1"/>
                  </w14:solidFill>
                </w14:textFill>
              </w:rPr>
              <w:t>）</w:t>
            </w:r>
          </w:p>
        </w:tc>
        <w:tc>
          <w:tcPr>
            <w:tcW w:w="1418" w:type="dxa"/>
            <w:tcBorders>
              <w:top w:val="single" w:color="auto" w:sz="8" w:space="0"/>
              <w:left w:val="single" w:color="auto" w:sz="8" w:space="0"/>
              <w:right w:val="single" w:color="auto" w:sz="8" w:space="0"/>
            </w:tcBorders>
            <w:vAlign w:val="center"/>
          </w:tcPr>
          <w:p>
            <w:pPr>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扫描工具</w:t>
            </w:r>
          </w:p>
        </w:tc>
        <w:tc>
          <w:tcPr>
            <w:tcW w:w="708" w:type="dxa"/>
            <w:tcBorders>
              <w:top w:val="single" w:color="auto" w:sz="8" w:space="0"/>
              <w:left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15</w:t>
            </w:r>
          </w:p>
        </w:tc>
        <w:tc>
          <w:tcPr>
            <w:tcW w:w="5670" w:type="dxa"/>
            <w:tcBorders>
              <w:top w:val="single" w:color="auto" w:sz="8" w:space="0"/>
              <w:left w:val="single" w:color="auto" w:sz="8" w:space="0"/>
              <w:right w:val="single" w:color="auto" w:sz="8" w:space="0"/>
            </w:tcBorders>
            <w:vAlign w:val="center"/>
          </w:tcPr>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提供了网站检查采样所需的软件系统扫描工具或技术手段，工具或技术手段具有相关证明。</w:t>
            </w:r>
            <w:r>
              <w:rPr>
                <w:rFonts w:ascii="宋体" w:hAnsi="宋体" w:eastAsia="宋体" w:cs="黑体"/>
                <w:color w:val="000000" w:themeColor="text1"/>
                <w:kern w:val="0"/>
                <w:sz w:val="24"/>
                <w:szCs w:val="24"/>
                <w14:textFill>
                  <w14:solidFill>
                    <w14:schemeClr w14:val="tx1"/>
                  </w14:solidFill>
                </w14:textFill>
              </w:rPr>
              <w:t>未提供不得分</w:t>
            </w:r>
            <w:r>
              <w:rPr>
                <w:rFonts w:hint="eastAsia" w:ascii="宋体" w:hAnsi="宋体" w:eastAsia="宋体" w:cs="黑体"/>
                <w:color w:val="000000" w:themeColor="text1"/>
                <w:kern w:val="0"/>
                <w:sz w:val="24"/>
                <w:szCs w:val="24"/>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1" w:hRule="atLeast"/>
          <w:jc w:val="center"/>
        </w:trPr>
        <w:tc>
          <w:tcPr>
            <w:tcW w:w="1266" w:type="dxa"/>
            <w:vMerge w:val="restart"/>
            <w:tcBorders>
              <w:left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ascii="宋体" w:hAnsi="宋体" w:eastAsia="宋体" w:cs="黑体"/>
                <w:b/>
                <w:bCs/>
                <w:color w:val="000000" w:themeColor="text1"/>
                <w:kern w:val="0"/>
                <w:sz w:val="24"/>
                <w:szCs w:val="24"/>
                <w14:textFill>
                  <w14:solidFill>
                    <w14:schemeClr w14:val="tx1"/>
                  </w14:solidFill>
                </w14:textFill>
              </w:rPr>
              <w:t>技术</w:t>
            </w:r>
          </w:p>
          <w:p>
            <w:pPr>
              <w:widowControl/>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w:t>
            </w:r>
            <w:r>
              <w:rPr>
                <w:rFonts w:hint="eastAsia" w:ascii="宋体" w:hAnsi="宋体" w:eastAsia="宋体" w:cs="黑体"/>
                <w:b/>
                <w:bCs/>
                <w:color w:val="000000" w:themeColor="text1"/>
                <w:kern w:val="0"/>
                <w:sz w:val="24"/>
                <w:szCs w:val="24"/>
                <w:lang w:val="en-US" w:eastAsia="zh-CN"/>
                <w14:textFill>
                  <w14:solidFill>
                    <w14:schemeClr w14:val="tx1"/>
                  </w14:solidFill>
                </w14:textFill>
              </w:rPr>
              <w:t>43</w:t>
            </w:r>
            <w:r>
              <w:rPr>
                <w:rFonts w:ascii="宋体" w:hAnsi="宋体" w:eastAsia="宋体" w:cs="黑体"/>
                <w:b/>
                <w:bCs/>
                <w:color w:val="000000" w:themeColor="text1"/>
                <w:kern w:val="0"/>
                <w:sz w:val="24"/>
                <w:szCs w:val="24"/>
                <w14:textFill>
                  <w14:solidFill>
                    <w14:schemeClr w14:val="tx1"/>
                  </w14:solidFill>
                </w14:textFill>
              </w:rPr>
              <w:t>分</w:t>
            </w:r>
            <w:r>
              <w:rPr>
                <w:rFonts w:hint="eastAsia" w:ascii="宋体" w:hAnsi="宋体" w:eastAsia="宋体" w:cs="黑体"/>
                <w:b/>
                <w:bCs/>
                <w:color w:val="000000" w:themeColor="text1"/>
                <w:kern w:val="0"/>
                <w:sz w:val="24"/>
                <w:szCs w:val="24"/>
                <w14:textFill>
                  <w14:solidFill>
                    <w14:schemeClr w14:val="tx1"/>
                  </w14:solidFill>
                </w14:textFill>
              </w:rPr>
              <w:t>）</w:t>
            </w: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技术方案</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hint="default" w:ascii="宋体" w:hAnsi="宋体" w:eastAsia="宋体" w:cs="黑体"/>
                <w:color w:val="000000" w:themeColor="text1"/>
                <w:kern w:val="0"/>
                <w:sz w:val="24"/>
                <w:szCs w:val="24"/>
                <w:lang w:val="en-US" w:eastAsia="zh-CN"/>
                <w14:textFill>
                  <w14:solidFill>
                    <w14:schemeClr w14:val="tx1"/>
                  </w14:solidFill>
                </w14:textFill>
              </w:rPr>
            </w:pPr>
            <w:r>
              <w:rPr>
                <w:rFonts w:hint="eastAsia" w:ascii="宋体" w:hAnsi="宋体" w:eastAsia="宋体" w:cs="黑体"/>
                <w:color w:val="000000" w:themeColor="text1"/>
                <w:kern w:val="0"/>
                <w:sz w:val="24"/>
                <w:szCs w:val="24"/>
                <w:lang w:val="en-US" w:eastAsia="zh-CN"/>
                <w14:textFill>
                  <w14:solidFill>
                    <w14:schemeClr w14:val="tx1"/>
                  </w14:solidFill>
                </w14:textFill>
              </w:rPr>
              <w:t>13</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1、</w:t>
            </w:r>
            <w:r>
              <w:rPr>
                <w:rFonts w:ascii="宋体" w:hAnsi="宋体" w:eastAsia="宋体" w:cs="黑体"/>
                <w:color w:val="000000" w:themeColor="text1"/>
                <w:kern w:val="0"/>
                <w:sz w:val="24"/>
                <w:szCs w:val="24"/>
                <w14:textFill>
                  <w14:solidFill>
                    <w14:schemeClr w14:val="tx1"/>
                  </w14:solidFill>
                </w14:textFill>
              </w:rPr>
              <w:t>提供了项目技术方案，方案满足采购文件要求；</w:t>
            </w:r>
            <w:r>
              <w:rPr>
                <w:rFonts w:hint="eastAsia" w:ascii="宋体" w:hAnsi="宋体" w:eastAsia="宋体" w:cs="黑体"/>
                <w:color w:val="000000" w:themeColor="text1"/>
                <w:kern w:val="0"/>
                <w:sz w:val="24"/>
                <w:szCs w:val="24"/>
                <w14:textFill>
                  <w14:solidFill>
                    <w14:schemeClr w14:val="tx1"/>
                  </w14:solidFill>
                </w14:textFill>
              </w:rPr>
              <w:t>得</w:t>
            </w:r>
            <w:r>
              <w:rPr>
                <w:rFonts w:hint="eastAsia" w:ascii="宋体" w:hAnsi="宋体" w:eastAsia="宋体" w:cs="黑体"/>
                <w:color w:val="000000" w:themeColor="text1"/>
                <w:kern w:val="0"/>
                <w:sz w:val="24"/>
                <w:szCs w:val="24"/>
                <w:lang w:val="en-US" w:eastAsia="zh-CN"/>
                <w14:textFill>
                  <w14:solidFill>
                    <w14:schemeClr w14:val="tx1"/>
                  </w14:solidFill>
                </w14:textFill>
              </w:rPr>
              <w:t>0-4</w:t>
            </w:r>
            <w:r>
              <w:rPr>
                <w:rFonts w:ascii="宋体" w:hAnsi="宋体" w:eastAsia="宋体" w:cs="黑体"/>
                <w:color w:val="000000" w:themeColor="text1"/>
                <w:kern w:val="0"/>
                <w:sz w:val="24"/>
                <w:szCs w:val="24"/>
                <w14:textFill>
                  <w14:solidFill>
                    <w14:schemeClr w14:val="tx1"/>
                  </w14:solidFill>
                </w14:textFill>
              </w:rPr>
              <w:t>分</w:t>
            </w:r>
            <w:r>
              <w:rPr>
                <w:rFonts w:hint="eastAsia" w:ascii="宋体" w:hAnsi="宋体" w:eastAsia="宋体" w:cs="黑体"/>
                <w:color w:val="000000" w:themeColor="text1"/>
                <w:kern w:val="0"/>
                <w:sz w:val="24"/>
                <w:szCs w:val="24"/>
                <w14:textFill>
                  <w14:solidFill>
                    <w14:schemeClr w14:val="tx1"/>
                  </w14:solidFill>
                </w14:textFill>
              </w:rPr>
              <w:t>。</w:t>
            </w:r>
          </w:p>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2、</w:t>
            </w:r>
            <w:r>
              <w:rPr>
                <w:rFonts w:ascii="宋体" w:hAnsi="宋体" w:eastAsia="宋体" w:cs="黑体"/>
                <w:color w:val="000000" w:themeColor="text1"/>
                <w:kern w:val="0"/>
                <w:sz w:val="24"/>
                <w:szCs w:val="24"/>
                <w14:textFill>
                  <w14:solidFill>
                    <w14:schemeClr w14:val="tx1"/>
                  </w14:solidFill>
                </w14:textFill>
              </w:rPr>
              <w:t>提供了项目技术方案，分析了全市政府网站的现状及存在的问题，分析总结了国务院办公厅关于政府网站建设的基本要求，分析政府网站发展趋势，提供了检查指标、评估指标体系和解读，提供了检查、诊断工作所需的技术手段或工具</w:t>
            </w:r>
            <w:r>
              <w:rPr>
                <w:rFonts w:hint="eastAsia" w:ascii="宋体" w:hAnsi="宋体" w:eastAsia="宋体" w:cs="黑体"/>
                <w:color w:val="000000" w:themeColor="text1"/>
                <w:kern w:val="0"/>
                <w:sz w:val="24"/>
                <w:szCs w:val="24"/>
                <w14:textFill>
                  <w14:solidFill>
                    <w14:schemeClr w14:val="tx1"/>
                  </w14:solidFill>
                </w14:textFill>
              </w:rPr>
              <w:t>；得</w:t>
            </w:r>
            <w:r>
              <w:rPr>
                <w:rFonts w:hint="eastAsia" w:ascii="宋体" w:hAnsi="宋体" w:eastAsia="宋体" w:cs="黑体"/>
                <w:color w:val="000000" w:themeColor="text1"/>
                <w:kern w:val="0"/>
                <w:sz w:val="24"/>
                <w:szCs w:val="24"/>
                <w:lang w:val="en-US" w:eastAsia="zh-CN"/>
                <w14:textFill>
                  <w14:solidFill>
                    <w14:schemeClr w14:val="tx1"/>
                  </w14:solidFill>
                </w14:textFill>
              </w:rPr>
              <w:t>5-9</w:t>
            </w:r>
            <w:r>
              <w:rPr>
                <w:rFonts w:ascii="宋体" w:hAnsi="宋体" w:eastAsia="宋体" w:cs="黑体"/>
                <w:color w:val="000000" w:themeColor="text1"/>
                <w:kern w:val="0"/>
                <w:sz w:val="24"/>
                <w:szCs w:val="24"/>
                <w14:textFill>
                  <w14:solidFill>
                    <w14:schemeClr w14:val="tx1"/>
                  </w14:solidFill>
                </w14:textFill>
              </w:rPr>
              <w:t>分</w:t>
            </w:r>
            <w:r>
              <w:rPr>
                <w:rFonts w:hint="eastAsia" w:ascii="宋体" w:hAnsi="宋体" w:eastAsia="宋体" w:cs="黑体"/>
                <w:color w:val="000000" w:themeColor="text1"/>
                <w:kern w:val="0"/>
                <w:sz w:val="24"/>
                <w:szCs w:val="24"/>
                <w14:textFill>
                  <w14:solidFill>
                    <w14:schemeClr w14:val="tx1"/>
                  </w14:solidFill>
                </w14:textFill>
              </w:rPr>
              <w:t>。</w:t>
            </w:r>
          </w:p>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3、</w:t>
            </w:r>
            <w:r>
              <w:rPr>
                <w:rFonts w:ascii="宋体" w:hAnsi="宋体" w:eastAsia="宋体" w:cs="黑体"/>
                <w:color w:val="000000" w:themeColor="text1"/>
                <w:kern w:val="0"/>
                <w:sz w:val="24"/>
                <w:szCs w:val="24"/>
                <w14:textFill>
                  <w14:solidFill>
                    <w14:schemeClr w14:val="tx1"/>
                  </w14:solidFill>
                </w14:textFill>
              </w:rPr>
              <w:t>提供了项目技术方案，明确了各项工作的内容和时间节点，详细分析了全市政府网站的现状及存在的问题，分析结果观点鲜明、逻辑清晰，与全市政府网站的实际情况一致。详细分析了国务院办公厅关于政府网站建设的基本要求，分析结果深入、透彻，按照分析结果能够更好的指导全市政府网站的建设。详细分析了全国政府网站的发展趋势，观点鲜明，符合现状</w:t>
            </w:r>
            <w:r>
              <w:rPr>
                <w:rFonts w:hint="eastAsia" w:ascii="宋体" w:hAnsi="宋体" w:eastAsia="宋体" w:cs="黑体"/>
                <w:color w:val="000000" w:themeColor="text1"/>
                <w:kern w:val="0"/>
                <w:sz w:val="24"/>
                <w:szCs w:val="24"/>
                <w:lang w:eastAsia="zh-CN"/>
                <w14:textFill>
                  <w14:solidFill>
                    <w14:schemeClr w14:val="tx1"/>
                  </w14:solidFill>
                </w14:textFill>
              </w:rPr>
              <w:t>。</w:t>
            </w:r>
            <w:r>
              <w:rPr>
                <w:rFonts w:hint="eastAsia" w:ascii="宋体" w:hAnsi="宋体" w:eastAsia="宋体" w:cs="黑体"/>
                <w:color w:val="000000" w:themeColor="text1"/>
                <w:kern w:val="0"/>
                <w:sz w:val="24"/>
                <w:szCs w:val="24"/>
                <w14:textFill>
                  <w14:solidFill>
                    <w14:schemeClr w14:val="tx1"/>
                  </w14:solidFill>
                </w14:textFill>
              </w:rPr>
              <w:t>提供了检查指标、评估指标体系和对应的解读，解读充分解读国家对政府网站的最新要求，逐项逐指标逐条进行案例剖析，指出容易出现的错误和可借鉴的优秀做法，提出下一步努力的方向和具体措施，促进政府网站建设管理水平的整体提升和政府网站队伍的建设</w:t>
            </w:r>
            <w:r>
              <w:rPr>
                <w:rFonts w:hint="eastAsia" w:ascii="宋体" w:hAnsi="宋体" w:eastAsia="宋体" w:cs="黑体"/>
                <w:color w:val="000000" w:themeColor="text1"/>
                <w:kern w:val="0"/>
                <w:sz w:val="24"/>
                <w:szCs w:val="24"/>
                <w:lang w:eastAsia="zh-CN"/>
                <w14:textFill>
                  <w14:solidFill>
                    <w14:schemeClr w14:val="tx1"/>
                  </w14:solidFill>
                </w14:textFill>
              </w:rPr>
              <w:t>，</w:t>
            </w:r>
            <w:r>
              <w:rPr>
                <w:rFonts w:hint="eastAsia" w:ascii="宋体" w:hAnsi="宋体" w:eastAsia="宋体" w:cs="黑体"/>
                <w:color w:val="000000" w:themeColor="text1"/>
                <w:kern w:val="0"/>
                <w:sz w:val="24"/>
                <w:szCs w:val="24"/>
                <w14:textFill>
                  <w14:solidFill>
                    <w14:schemeClr w14:val="tx1"/>
                  </w14:solidFill>
                </w14:textFill>
              </w:rPr>
              <w:t>得</w:t>
            </w:r>
            <w:r>
              <w:rPr>
                <w:rFonts w:ascii="宋体" w:hAnsi="宋体" w:eastAsia="宋体" w:cs="黑体"/>
                <w:color w:val="000000" w:themeColor="text1"/>
                <w:kern w:val="0"/>
                <w:sz w:val="24"/>
                <w:szCs w:val="24"/>
                <w14:textFill>
                  <w14:solidFill>
                    <w14:schemeClr w14:val="tx1"/>
                  </w14:solidFill>
                </w14:textFill>
              </w:rPr>
              <w:t>1</w:t>
            </w:r>
            <w:r>
              <w:rPr>
                <w:rFonts w:hint="eastAsia" w:ascii="宋体" w:hAnsi="宋体" w:eastAsia="宋体" w:cs="黑体"/>
                <w:color w:val="000000" w:themeColor="text1"/>
                <w:kern w:val="0"/>
                <w:sz w:val="24"/>
                <w:szCs w:val="24"/>
                <w:lang w:val="en-US" w:eastAsia="zh-CN"/>
                <w14:textFill>
                  <w14:solidFill>
                    <w14:schemeClr w14:val="tx1"/>
                  </w14:solidFill>
                </w14:textFill>
              </w:rPr>
              <w:t>0-13</w:t>
            </w:r>
            <w:r>
              <w:rPr>
                <w:rFonts w:ascii="宋体" w:hAnsi="宋体" w:eastAsia="宋体" w:cs="黑体"/>
                <w:color w:val="000000" w:themeColor="text1"/>
                <w:kern w:val="0"/>
                <w:sz w:val="24"/>
                <w:szCs w:val="24"/>
                <w14:textFill>
                  <w14:solidFill>
                    <w14:schemeClr w14:val="tx1"/>
                  </w14:solidFill>
                </w14:textFill>
              </w:rPr>
              <w:t>分</w:t>
            </w:r>
            <w:r>
              <w:rPr>
                <w:rFonts w:hint="eastAsia" w:ascii="宋体" w:hAnsi="宋体" w:eastAsia="宋体" w:cs="黑体"/>
                <w:color w:val="000000" w:themeColor="text1"/>
                <w:kern w:val="0"/>
                <w:sz w:val="24"/>
                <w:szCs w:val="24"/>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5" w:hRule="atLeast"/>
          <w:jc w:val="center"/>
        </w:trPr>
        <w:tc>
          <w:tcPr>
            <w:tcW w:w="1266" w:type="dxa"/>
            <w:vMerge w:val="continue"/>
            <w:tcBorders>
              <w:left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实施方案</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7</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w:t>
            </w:r>
            <w:r>
              <w:rPr>
                <w:rFonts w:hint="eastAsia" w:ascii="宋体" w:hAnsi="宋体" w:eastAsia="宋体" w:cs="黑体"/>
                <w:color w:val="000000" w:themeColor="text1"/>
                <w:kern w:val="0"/>
                <w:sz w:val="24"/>
                <w:szCs w:val="24"/>
                <w14:textFill>
                  <w14:solidFill>
                    <w14:schemeClr w14:val="tx1"/>
                  </w14:solidFill>
                </w14:textFill>
              </w:rPr>
              <w:t>、</w:t>
            </w:r>
            <w:r>
              <w:rPr>
                <w:rFonts w:ascii="宋体" w:hAnsi="宋体" w:eastAsia="宋体" w:cs="黑体"/>
                <w:color w:val="000000" w:themeColor="text1"/>
                <w:kern w:val="0"/>
                <w:sz w:val="24"/>
                <w:szCs w:val="24"/>
                <w14:textFill>
                  <w14:solidFill>
                    <w14:schemeClr w14:val="tx1"/>
                  </w14:solidFill>
                </w14:textFill>
              </w:rPr>
              <w:t>有项目实施路线、项目执行组织措施、项目执行保障措施等、针对本项目投入了一定的人员，实施组织方案一般</w:t>
            </w:r>
            <w:r>
              <w:rPr>
                <w:rFonts w:hint="eastAsia" w:ascii="宋体" w:hAnsi="宋体" w:eastAsia="宋体" w:cs="黑体"/>
                <w:color w:val="000000" w:themeColor="text1"/>
                <w:kern w:val="0"/>
                <w:sz w:val="24"/>
                <w:szCs w:val="24"/>
                <w14:textFill>
                  <w14:solidFill>
                    <w14:schemeClr w14:val="tx1"/>
                  </w14:solidFill>
                </w14:textFill>
              </w:rPr>
              <w:t>；得</w:t>
            </w:r>
            <w:r>
              <w:rPr>
                <w:rFonts w:hint="eastAsia" w:ascii="宋体" w:hAnsi="宋体" w:eastAsia="宋体" w:cs="黑体"/>
                <w:color w:val="000000" w:themeColor="text1"/>
                <w:kern w:val="0"/>
                <w:sz w:val="24"/>
                <w:szCs w:val="24"/>
                <w:lang w:val="en-US" w:eastAsia="zh-CN"/>
                <w14:textFill>
                  <w14:solidFill>
                    <w14:schemeClr w14:val="tx1"/>
                  </w14:solidFill>
                </w14:textFill>
              </w:rPr>
              <w:t>0-</w:t>
            </w:r>
            <w:r>
              <w:rPr>
                <w:rFonts w:ascii="宋体" w:hAnsi="宋体" w:eastAsia="宋体" w:cs="黑体"/>
                <w:color w:val="000000" w:themeColor="text1"/>
                <w:kern w:val="0"/>
                <w:sz w:val="24"/>
                <w:szCs w:val="24"/>
                <w14:textFill>
                  <w14:solidFill>
                    <w14:schemeClr w14:val="tx1"/>
                  </w14:solidFill>
                </w14:textFill>
              </w:rPr>
              <w:t>3分</w:t>
            </w:r>
            <w:r>
              <w:rPr>
                <w:rFonts w:hint="eastAsia" w:ascii="宋体" w:hAnsi="宋体" w:eastAsia="宋体" w:cs="黑体"/>
                <w:color w:val="000000" w:themeColor="text1"/>
                <w:kern w:val="0"/>
                <w:sz w:val="24"/>
                <w:szCs w:val="24"/>
                <w14:textFill>
                  <w14:solidFill>
                    <w14:schemeClr w14:val="tx1"/>
                  </w14:solidFill>
                </w14:textFill>
              </w:rPr>
              <w:t>。</w:t>
            </w:r>
          </w:p>
          <w:p>
            <w:pPr>
              <w:widowControl/>
              <w:jc w:val="left"/>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2</w:t>
            </w:r>
            <w:r>
              <w:rPr>
                <w:rFonts w:hint="eastAsia" w:ascii="宋体" w:hAnsi="宋体" w:eastAsia="宋体" w:cs="黑体"/>
                <w:color w:val="000000" w:themeColor="text1"/>
                <w:kern w:val="0"/>
                <w:sz w:val="24"/>
                <w:szCs w:val="24"/>
                <w14:textFill>
                  <w14:solidFill>
                    <w14:schemeClr w14:val="tx1"/>
                  </w14:solidFill>
                </w14:textFill>
              </w:rPr>
              <w:t>、</w:t>
            </w:r>
            <w:r>
              <w:rPr>
                <w:rFonts w:ascii="宋体" w:hAnsi="宋体" w:eastAsia="宋体" w:cs="黑体"/>
                <w:color w:val="000000" w:themeColor="text1"/>
                <w:kern w:val="0"/>
                <w:sz w:val="24"/>
                <w:szCs w:val="24"/>
                <w14:textFill>
                  <w14:solidFill>
                    <w14:schemeClr w14:val="tx1"/>
                  </w14:solidFill>
                </w14:textFill>
              </w:rPr>
              <w:t>项目实施路线、项目执行组织措施、项目执行保障措施详细可行，针对本项目投入较多人员（附有关证书）经验较丰富；实施组织方案良好</w:t>
            </w:r>
            <w:r>
              <w:rPr>
                <w:rFonts w:hint="eastAsia" w:ascii="宋体" w:hAnsi="宋体" w:eastAsia="宋体" w:cs="黑体"/>
                <w:color w:val="000000" w:themeColor="text1"/>
                <w:kern w:val="0"/>
                <w:sz w:val="24"/>
                <w:szCs w:val="24"/>
                <w14:textFill>
                  <w14:solidFill>
                    <w14:schemeClr w14:val="tx1"/>
                  </w14:solidFill>
                </w14:textFill>
              </w:rPr>
              <w:t>；得</w:t>
            </w:r>
            <w:r>
              <w:rPr>
                <w:rFonts w:hint="eastAsia" w:ascii="宋体" w:hAnsi="宋体" w:eastAsia="宋体" w:cs="黑体"/>
                <w:color w:val="000000" w:themeColor="text1"/>
                <w:kern w:val="0"/>
                <w:sz w:val="24"/>
                <w:szCs w:val="24"/>
                <w:lang w:val="en-US" w:eastAsia="zh-CN"/>
                <w14:textFill>
                  <w14:solidFill>
                    <w14:schemeClr w14:val="tx1"/>
                  </w14:solidFill>
                </w14:textFill>
              </w:rPr>
              <w:t>4-</w:t>
            </w:r>
            <w:r>
              <w:rPr>
                <w:rFonts w:ascii="宋体" w:hAnsi="宋体" w:eastAsia="宋体" w:cs="黑体"/>
                <w:color w:val="000000" w:themeColor="text1"/>
                <w:kern w:val="0"/>
                <w:sz w:val="24"/>
                <w:szCs w:val="24"/>
                <w14:textFill>
                  <w14:solidFill>
                    <w14:schemeClr w14:val="tx1"/>
                  </w14:solidFill>
                </w14:textFill>
              </w:rPr>
              <w:t>5分</w:t>
            </w:r>
            <w:r>
              <w:rPr>
                <w:rFonts w:hint="eastAsia" w:ascii="宋体" w:hAnsi="宋体" w:eastAsia="宋体" w:cs="黑体"/>
                <w:color w:val="000000" w:themeColor="text1"/>
                <w:kern w:val="0"/>
                <w:sz w:val="24"/>
                <w:szCs w:val="24"/>
                <w14:textFill>
                  <w14:solidFill>
                    <w14:schemeClr w14:val="tx1"/>
                  </w14:solidFill>
                </w14:textFill>
              </w:rPr>
              <w:t>。</w:t>
            </w:r>
          </w:p>
          <w:p>
            <w:pPr>
              <w:widowControl/>
              <w:jc w:val="left"/>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3</w:t>
            </w:r>
            <w:r>
              <w:rPr>
                <w:rFonts w:hint="eastAsia" w:ascii="宋体" w:hAnsi="宋体" w:eastAsia="宋体" w:cs="黑体"/>
                <w:color w:val="000000" w:themeColor="text1"/>
                <w:kern w:val="0"/>
                <w:sz w:val="24"/>
                <w:szCs w:val="24"/>
                <w14:textFill>
                  <w14:solidFill>
                    <w14:schemeClr w14:val="tx1"/>
                  </w14:solidFill>
                </w14:textFill>
              </w:rPr>
              <w:t>、</w:t>
            </w:r>
            <w:r>
              <w:rPr>
                <w:rFonts w:ascii="宋体" w:hAnsi="宋体" w:eastAsia="宋体" w:cs="黑体"/>
                <w:color w:val="000000" w:themeColor="text1"/>
                <w:kern w:val="0"/>
                <w:sz w:val="24"/>
                <w:szCs w:val="24"/>
                <w14:textFill>
                  <w14:solidFill>
                    <w14:schemeClr w14:val="tx1"/>
                  </w14:solidFill>
                </w14:textFill>
              </w:rPr>
              <w:t>项目实施路线、项目执行组织措施、项目执行保障措施详细可行，针对本项目投入充足的人员（附有关证书）经验丰富，实施组织方案完备优秀</w:t>
            </w:r>
            <w:r>
              <w:rPr>
                <w:rFonts w:hint="eastAsia" w:ascii="宋体" w:hAnsi="宋体" w:eastAsia="宋体" w:cs="黑体"/>
                <w:color w:val="000000" w:themeColor="text1"/>
                <w:kern w:val="0"/>
                <w:sz w:val="24"/>
                <w:szCs w:val="24"/>
                <w14:textFill>
                  <w14:solidFill>
                    <w14:schemeClr w14:val="tx1"/>
                  </w14:solidFill>
                </w14:textFill>
              </w:rPr>
              <w:t>；得</w:t>
            </w:r>
            <w:r>
              <w:rPr>
                <w:rFonts w:hint="eastAsia" w:ascii="宋体" w:hAnsi="宋体" w:eastAsia="宋体" w:cs="黑体"/>
                <w:color w:val="000000" w:themeColor="text1"/>
                <w:kern w:val="0"/>
                <w:sz w:val="24"/>
                <w:szCs w:val="24"/>
                <w:lang w:val="en-US" w:eastAsia="zh-CN"/>
                <w14:textFill>
                  <w14:solidFill>
                    <w14:schemeClr w14:val="tx1"/>
                  </w14:solidFill>
                </w14:textFill>
              </w:rPr>
              <w:t>6-</w:t>
            </w:r>
            <w:r>
              <w:rPr>
                <w:rFonts w:ascii="宋体" w:hAnsi="宋体" w:eastAsia="宋体" w:cs="黑体"/>
                <w:color w:val="000000" w:themeColor="text1"/>
                <w:kern w:val="0"/>
                <w:sz w:val="24"/>
                <w:szCs w:val="24"/>
                <w14:textFill>
                  <w14:solidFill>
                    <w14:schemeClr w14:val="tx1"/>
                  </w14:solidFill>
                </w14:textFill>
              </w:rPr>
              <w:t>7分</w:t>
            </w:r>
            <w:r>
              <w:rPr>
                <w:rFonts w:hint="eastAsia" w:ascii="宋体" w:hAnsi="宋体" w:eastAsia="宋体" w:cs="黑体"/>
                <w:color w:val="000000" w:themeColor="text1"/>
                <w:kern w:val="0"/>
                <w:sz w:val="24"/>
                <w:szCs w:val="24"/>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5" w:hRule="atLeast"/>
          <w:jc w:val="center"/>
        </w:trPr>
        <w:tc>
          <w:tcPr>
            <w:tcW w:w="1266" w:type="dxa"/>
            <w:vMerge w:val="continue"/>
            <w:tcBorders>
              <w:left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服务方案</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8</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1、</w:t>
            </w:r>
            <w:r>
              <w:rPr>
                <w:rFonts w:ascii="宋体" w:hAnsi="宋体" w:eastAsia="宋体" w:cs="黑体"/>
                <w:color w:val="000000" w:themeColor="text1"/>
                <w:kern w:val="0"/>
                <w:sz w:val="24"/>
                <w:szCs w:val="24"/>
                <w14:textFill>
                  <w14:solidFill>
                    <w14:schemeClr w14:val="tx1"/>
                  </w14:solidFill>
                </w14:textFill>
              </w:rPr>
              <w:t>提供有服务方案，方案包含有项目售后维护和应急保障方案，且方案可行；</w:t>
            </w:r>
            <w:r>
              <w:rPr>
                <w:rFonts w:hint="eastAsia" w:ascii="宋体" w:hAnsi="宋体" w:eastAsia="宋体" w:cs="黑体"/>
                <w:color w:val="000000" w:themeColor="text1"/>
                <w:kern w:val="0"/>
                <w:sz w:val="24"/>
                <w:szCs w:val="24"/>
                <w14:textFill>
                  <w14:solidFill>
                    <w14:schemeClr w14:val="tx1"/>
                  </w14:solidFill>
                </w14:textFill>
              </w:rPr>
              <w:t>得</w:t>
            </w:r>
            <w:r>
              <w:rPr>
                <w:rFonts w:hint="eastAsia" w:ascii="宋体" w:hAnsi="宋体" w:eastAsia="宋体" w:cs="黑体"/>
                <w:color w:val="000000" w:themeColor="text1"/>
                <w:kern w:val="0"/>
                <w:sz w:val="24"/>
                <w:szCs w:val="24"/>
                <w:lang w:val="en-US" w:eastAsia="zh-CN"/>
                <w14:textFill>
                  <w14:solidFill>
                    <w14:schemeClr w14:val="tx1"/>
                  </w14:solidFill>
                </w14:textFill>
              </w:rPr>
              <w:t>0-</w:t>
            </w:r>
            <w:r>
              <w:rPr>
                <w:rFonts w:ascii="宋体" w:hAnsi="宋体" w:eastAsia="宋体" w:cs="黑体"/>
                <w:color w:val="000000" w:themeColor="text1"/>
                <w:kern w:val="0"/>
                <w:sz w:val="24"/>
                <w:szCs w:val="24"/>
                <w14:textFill>
                  <w14:solidFill>
                    <w14:schemeClr w14:val="tx1"/>
                  </w14:solidFill>
                </w14:textFill>
              </w:rPr>
              <w:t>3分</w:t>
            </w:r>
            <w:r>
              <w:rPr>
                <w:rFonts w:hint="eastAsia" w:ascii="宋体" w:hAnsi="宋体" w:eastAsia="宋体" w:cs="黑体"/>
                <w:color w:val="000000" w:themeColor="text1"/>
                <w:kern w:val="0"/>
                <w:sz w:val="24"/>
                <w:szCs w:val="24"/>
                <w14:textFill>
                  <w14:solidFill>
                    <w14:schemeClr w14:val="tx1"/>
                  </w14:solidFill>
                </w14:textFill>
              </w:rPr>
              <w:t>。</w:t>
            </w:r>
          </w:p>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2、</w:t>
            </w:r>
            <w:r>
              <w:rPr>
                <w:rFonts w:ascii="宋体" w:hAnsi="宋体" w:eastAsia="宋体" w:cs="黑体"/>
                <w:color w:val="000000" w:themeColor="text1"/>
                <w:kern w:val="0"/>
                <w:sz w:val="24"/>
                <w:szCs w:val="24"/>
                <w14:textFill>
                  <w14:solidFill>
                    <w14:schemeClr w14:val="tx1"/>
                  </w14:solidFill>
                </w14:textFill>
              </w:rPr>
              <w:t>提供有服务方案，方案包含有项目售后维护、应急保障方案、保密承诺及廉洁承诺等，且描述了项目售后维护和应急保障方案的方法以及实现方式，方案可行较详细；</w:t>
            </w:r>
            <w:r>
              <w:rPr>
                <w:rFonts w:hint="eastAsia" w:ascii="宋体" w:hAnsi="宋体" w:eastAsia="宋体" w:cs="黑体"/>
                <w:color w:val="000000" w:themeColor="text1"/>
                <w:kern w:val="0"/>
                <w:sz w:val="24"/>
                <w:szCs w:val="24"/>
                <w14:textFill>
                  <w14:solidFill>
                    <w14:schemeClr w14:val="tx1"/>
                  </w14:solidFill>
                </w14:textFill>
              </w:rPr>
              <w:t>得</w:t>
            </w:r>
            <w:r>
              <w:rPr>
                <w:rFonts w:hint="eastAsia" w:ascii="宋体" w:hAnsi="宋体" w:eastAsia="宋体" w:cs="黑体"/>
                <w:color w:val="000000" w:themeColor="text1"/>
                <w:kern w:val="0"/>
                <w:sz w:val="24"/>
                <w:szCs w:val="24"/>
                <w:lang w:val="en-US" w:eastAsia="zh-CN"/>
                <w14:textFill>
                  <w14:solidFill>
                    <w14:schemeClr w14:val="tx1"/>
                  </w14:solidFill>
                </w14:textFill>
              </w:rPr>
              <w:t>4-</w:t>
            </w:r>
            <w:r>
              <w:rPr>
                <w:rFonts w:ascii="宋体" w:hAnsi="宋体" w:eastAsia="宋体" w:cs="黑体"/>
                <w:color w:val="000000" w:themeColor="text1"/>
                <w:kern w:val="0"/>
                <w:sz w:val="24"/>
                <w:szCs w:val="24"/>
                <w14:textFill>
                  <w14:solidFill>
                    <w14:schemeClr w14:val="tx1"/>
                  </w14:solidFill>
                </w14:textFill>
              </w:rPr>
              <w:t>5分</w:t>
            </w:r>
            <w:r>
              <w:rPr>
                <w:rFonts w:hint="eastAsia" w:ascii="宋体" w:hAnsi="宋体" w:eastAsia="宋体" w:cs="黑体"/>
                <w:color w:val="000000" w:themeColor="text1"/>
                <w:kern w:val="0"/>
                <w:sz w:val="24"/>
                <w:szCs w:val="24"/>
                <w14:textFill>
                  <w14:solidFill>
                    <w14:schemeClr w14:val="tx1"/>
                  </w14:solidFill>
                </w14:textFill>
              </w:rPr>
              <w:t>。</w:t>
            </w:r>
          </w:p>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3、</w:t>
            </w:r>
            <w:r>
              <w:rPr>
                <w:rFonts w:ascii="宋体" w:hAnsi="宋体" w:eastAsia="宋体" w:cs="黑体"/>
                <w:color w:val="000000" w:themeColor="text1"/>
                <w:kern w:val="0"/>
                <w:sz w:val="24"/>
                <w:szCs w:val="24"/>
                <w14:textFill>
                  <w14:solidFill>
                    <w14:schemeClr w14:val="tx1"/>
                  </w14:solidFill>
                </w14:textFill>
              </w:rPr>
              <w:t>提供有服务方案，方案包含有项目售后维护、应急保障方案、保密承诺及廉洁承诺等，且描述了项目售后维护和应急保障方案的方法以及实现方式 ，售后服务机构及联系人、技术人员名单等资料详细，服务承诺和保障措施考虑周全完整详细</w:t>
            </w:r>
            <w:r>
              <w:rPr>
                <w:rFonts w:hint="eastAsia" w:ascii="宋体" w:hAnsi="宋体" w:eastAsia="宋体" w:cs="黑体"/>
                <w:color w:val="000000" w:themeColor="text1"/>
                <w:kern w:val="0"/>
                <w:sz w:val="24"/>
                <w:szCs w:val="24"/>
                <w14:textFill>
                  <w14:solidFill>
                    <w14:schemeClr w14:val="tx1"/>
                  </w14:solidFill>
                </w14:textFill>
              </w:rPr>
              <w:t>；得</w:t>
            </w:r>
            <w:r>
              <w:rPr>
                <w:rFonts w:hint="eastAsia" w:ascii="宋体" w:hAnsi="宋体" w:eastAsia="宋体" w:cs="黑体"/>
                <w:color w:val="000000" w:themeColor="text1"/>
                <w:kern w:val="0"/>
                <w:sz w:val="24"/>
                <w:szCs w:val="24"/>
                <w:lang w:val="en-US" w:eastAsia="zh-CN"/>
                <w14:textFill>
                  <w14:solidFill>
                    <w14:schemeClr w14:val="tx1"/>
                  </w14:solidFill>
                </w14:textFill>
              </w:rPr>
              <w:t>6-</w:t>
            </w:r>
            <w:r>
              <w:rPr>
                <w:rFonts w:ascii="宋体" w:hAnsi="宋体" w:eastAsia="宋体" w:cs="黑体"/>
                <w:color w:val="000000" w:themeColor="text1"/>
                <w:kern w:val="0"/>
                <w:sz w:val="24"/>
                <w:szCs w:val="24"/>
                <w14:textFill>
                  <w14:solidFill>
                    <w14:schemeClr w14:val="tx1"/>
                  </w14:solidFill>
                </w14:textFill>
              </w:rPr>
              <w:t>8分</w:t>
            </w:r>
            <w:r>
              <w:rPr>
                <w:rFonts w:hint="eastAsia" w:ascii="宋体" w:hAnsi="宋体" w:eastAsia="宋体" w:cs="黑体"/>
                <w:color w:val="000000" w:themeColor="text1"/>
                <w:kern w:val="0"/>
                <w:sz w:val="24"/>
                <w:szCs w:val="24"/>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266" w:type="dxa"/>
            <w:vMerge w:val="continue"/>
            <w:tcBorders>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项目团队</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15</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lang w:val="en-US" w:eastAsia="zh-CN"/>
                <w14:textFill>
                  <w14:solidFill>
                    <w14:schemeClr w14:val="tx1"/>
                  </w14:solidFill>
                </w14:textFill>
              </w:rPr>
              <w:t>1、</w:t>
            </w:r>
            <w:r>
              <w:rPr>
                <w:rFonts w:hint="eastAsia" w:ascii="宋体" w:hAnsi="宋体" w:eastAsia="宋体" w:cs="黑体"/>
                <w:color w:val="000000" w:themeColor="text1"/>
                <w:kern w:val="0"/>
                <w:sz w:val="24"/>
                <w:szCs w:val="24"/>
                <w14:textFill>
                  <w14:solidFill>
                    <w14:schemeClr w14:val="tx1"/>
                  </w14:solidFill>
                </w14:textFill>
              </w:rPr>
              <w:t>项目经理具有高级职称、软件评测师证书、硕士及硕士以上学历，每提供一个证明材料得</w:t>
            </w:r>
            <w:r>
              <w:rPr>
                <w:rFonts w:ascii="宋体" w:hAnsi="宋体" w:eastAsia="宋体" w:cs="黑体"/>
                <w:color w:val="000000" w:themeColor="text1"/>
                <w:kern w:val="0"/>
                <w:sz w:val="24"/>
                <w:szCs w:val="24"/>
                <w14:textFill>
                  <w14:solidFill>
                    <w14:schemeClr w14:val="tx1"/>
                  </w14:solidFill>
                </w14:textFill>
              </w:rPr>
              <w:t>2分，满分6分；</w:t>
            </w:r>
          </w:p>
          <w:p>
            <w:pPr>
              <w:widowControl/>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lang w:val="en-US" w:eastAsia="zh-CN"/>
                <w14:textFill>
                  <w14:solidFill>
                    <w14:schemeClr w14:val="tx1"/>
                  </w14:solidFill>
                </w14:textFill>
              </w:rPr>
              <w:t>2、</w:t>
            </w:r>
            <w:r>
              <w:rPr>
                <w:rFonts w:ascii="宋体" w:hAnsi="宋体" w:eastAsia="宋体" w:cs="黑体"/>
                <w:color w:val="000000" w:themeColor="text1"/>
                <w:kern w:val="0"/>
                <w:sz w:val="24"/>
                <w:szCs w:val="24"/>
                <w14:textFill>
                  <w14:solidFill>
                    <w14:schemeClr w14:val="tx1"/>
                  </w14:solidFill>
                </w14:textFill>
              </w:rPr>
              <w:t>项目成员具有信息系统项目管理师资格证书</w:t>
            </w:r>
            <w:r>
              <w:rPr>
                <w:rFonts w:hint="eastAsia" w:ascii="宋体" w:hAnsi="宋体" w:eastAsia="宋体" w:cs="黑体"/>
                <w:color w:val="000000" w:themeColor="text1"/>
                <w:kern w:val="0"/>
                <w:sz w:val="24"/>
                <w:szCs w:val="24"/>
                <w14:textFill>
                  <w14:solidFill>
                    <w14:schemeClr w14:val="tx1"/>
                  </w14:solidFill>
                </w14:textFill>
              </w:rPr>
              <w:t>、软件评测师证书、本科及本科以上学历</w:t>
            </w:r>
            <w:r>
              <w:rPr>
                <w:rFonts w:ascii="宋体" w:hAnsi="宋体" w:eastAsia="宋体" w:cs="黑体"/>
                <w:color w:val="000000" w:themeColor="text1"/>
                <w:kern w:val="0"/>
                <w:sz w:val="24"/>
                <w:szCs w:val="24"/>
                <w14:textFill>
                  <w14:solidFill>
                    <w14:schemeClr w14:val="tx1"/>
                  </w14:solidFill>
                </w14:textFill>
              </w:rPr>
              <w:t>的，每提供一名得3分，最高得9分。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2684"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合计</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100</w:t>
            </w:r>
          </w:p>
        </w:tc>
        <w:tc>
          <w:tcPr>
            <w:tcW w:w="5670" w:type="dxa"/>
            <w:tcBorders>
              <w:top w:val="single" w:color="auto" w:sz="8" w:space="0"/>
              <w:left w:val="single" w:color="auto" w:sz="8" w:space="0"/>
              <w:bottom w:val="single" w:color="auto" w:sz="8" w:space="0"/>
              <w:right w:val="single" w:color="auto" w:sz="8" w:space="0"/>
            </w:tcBorders>
            <w:vAlign w:val="bottom"/>
          </w:tcPr>
          <w:p>
            <w:pPr>
              <w:widowControl/>
              <w:jc w:val="center"/>
              <w:rPr>
                <w:rFonts w:ascii="宋体" w:hAnsi="宋体" w:eastAsia="宋体" w:cs="黑体"/>
                <w:color w:val="000000" w:themeColor="text1"/>
                <w:kern w:val="0"/>
                <w:sz w:val="24"/>
                <w:szCs w:val="24"/>
                <w14:textFill>
                  <w14:solidFill>
                    <w14:schemeClr w14:val="tx1"/>
                  </w14:solidFill>
                </w14:textFill>
              </w:rPr>
            </w:pPr>
          </w:p>
        </w:tc>
      </w:tr>
    </w:tbl>
    <w:p>
      <w:pPr>
        <w:snapToGrid w:val="0"/>
        <w:spacing w:line="240" w:lineRule="exact"/>
        <w:jc w:val="left"/>
        <w:rPr>
          <w:rFonts w:ascii="Times New Roman" w:hAnsi="Times New Roman" w:cs="宋体"/>
          <w:b/>
          <w:color w:val="000000" w:themeColor="text1"/>
          <w:kern w:val="0"/>
          <w:sz w:val="24"/>
          <w14:textFill>
            <w14:solidFill>
              <w14:schemeClr w14:val="tx1"/>
            </w14:solidFill>
          </w14:textFill>
        </w:rPr>
      </w:pPr>
    </w:p>
    <w:p>
      <w:pPr>
        <w:snapToGrid w:val="0"/>
        <w:spacing w:line="320" w:lineRule="exact"/>
        <w:jc w:val="left"/>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价格扣除：</w:t>
      </w:r>
      <w:r>
        <w:rPr>
          <w:rFonts w:hint="eastAsia" w:ascii="黑体" w:hAnsi="黑体" w:eastAsia="黑体" w:cs="黑体"/>
          <w:bCs/>
          <w:color w:val="000000" w:themeColor="text1"/>
          <w14:textFill>
            <w14:solidFill>
              <w14:schemeClr w14:val="tx1"/>
            </w14:solidFill>
          </w14:textFill>
        </w:rPr>
        <w:t>对小型和微型企业产品的价格给予10%的扣除。参加报价的中小企业，应当按照《政府采购促进中小企业发展暂行办法》（财库〔2011〕181号）的规定提供《中小企业声明函》（中小企业划型标准详见《关于印发中小企业划型标准规定的通知》工信部联企业〔2011〕300号）。</w:t>
      </w:r>
    </w:p>
    <w:p>
      <w:pPr>
        <w:spacing w:line="320" w:lineRule="exact"/>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特别提醒：</w:t>
      </w:r>
      <w:r>
        <w:rPr>
          <w:rFonts w:hint="eastAsia" w:ascii="黑体" w:hAnsi="黑体" w:eastAsia="黑体" w:cs="黑体"/>
          <w:bCs/>
          <w:color w:val="000000" w:themeColor="text1"/>
          <w14:textFill>
            <w14:solidFill>
              <w14:schemeClr w14:val="tx1"/>
            </w14:solidFill>
          </w14:textFill>
        </w:rPr>
        <w:t>投标单位如有提供不实评审材料，弄虚作假者，一律作废标处理，该不良行为予以公示。</w:t>
      </w:r>
    </w:p>
    <w:p>
      <w:pPr>
        <w:pStyle w:val="2"/>
        <w:rPr>
          <w:color w:val="000000" w:themeColor="text1"/>
          <w:lang w:val="en-US"/>
          <w14:textFill>
            <w14:solidFill>
              <w14:schemeClr w14:val="tx1"/>
            </w14:solidFill>
          </w14:textFill>
        </w:rPr>
      </w:pPr>
    </w:p>
    <w:p>
      <w:pPr>
        <w:outlineLvl w:val="1"/>
        <w:rPr>
          <w:rFonts w:hint="eastAsia" w:ascii="Times New Roman" w:hAnsi="Times New Roman" w:eastAsia="黑体"/>
          <w:bCs/>
          <w:color w:val="000000" w:themeColor="text1"/>
          <w:sz w:val="24"/>
          <w:szCs w:val="24"/>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rPr>
          <w:rFonts w:ascii="Times New Roman" w:hAnsi="Times New Roman" w:eastAsia="黑体"/>
          <w:bCs/>
          <w:color w:val="000000" w:themeColor="text1"/>
          <w:sz w:val="24"/>
          <w:szCs w:val="24"/>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ascii="Times New Roman" w:hAnsi="Times New Roman" w:eastAsia="黑体"/>
          <w:bCs/>
          <w:color w:val="000000" w:themeColor="text1"/>
          <w:sz w:val="52"/>
          <w:szCs w:val="5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ascii="Times New Roman" w:hAnsi="Times New Roman" w:eastAsia="楷体_GB2312"/>
          <w:bCs/>
          <w:color w:val="000000" w:themeColor="text1"/>
          <w:sz w:val="72"/>
          <w14:textFill>
            <w14:solidFill>
              <w14:schemeClr w14:val="tx1"/>
            </w14:solidFill>
          </w14:textFill>
        </w:rPr>
      </w:pPr>
    </w:p>
    <w:p>
      <w:pPr>
        <w:rPr>
          <w:rFonts w:ascii="Times New Roman" w:hAnsi="Times New Roman" w:eastAsia="楷体_GB2312"/>
          <w:bCs/>
          <w:color w:val="000000" w:themeColor="text1"/>
          <w:sz w:val="28"/>
          <w:szCs w:val="20"/>
          <w14:textFill>
            <w14:solidFill>
              <w14:schemeClr w14:val="tx1"/>
            </w14:solidFill>
          </w14:textFill>
        </w:rPr>
      </w:pP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采购项目名称：2022年泰州市政府网站群季度监测服务</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ascii="Times New Roman" w:hAnsi="Times New Roman" w:eastAsia="黑体"/>
          <w:bCs/>
          <w:color w:val="000000" w:themeColor="text1"/>
          <w:sz w:val="32"/>
          <w14:textFill>
            <w14:solidFill>
              <w14:schemeClr w14:val="tx1"/>
            </w14:solidFill>
          </w14:textFill>
        </w:rPr>
      </w:pPr>
    </w:p>
    <w:p>
      <w:pPr>
        <w:jc w:val="center"/>
        <w:rPr>
          <w:rFonts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w:t>
      </w:r>
      <w:r>
        <w:rPr>
          <w:rFonts w:ascii="Times New Roman" w:hAnsi="Times New Roman" w:eastAsia="黑体"/>
          <w:bCs/>
          <w:color w:val="000000" w:themeColor="text1"/>
          <w:sz w:val="36"/>
          <w:szCs w:val="36"/>
          <w14:textFill>
            <w14:solidFill>
              <w14:schemeClr w14:val="tx1"/>
            </w14:solidFill>
          </w14:textFill>
        </w:rPr>
        <w:t>22</w:t>
      </w:r>
      <w:r>
        <w:rPr>
          <w:rFonts w:hint="eastAsia" w:ascii="Times New Roman" w:hAnsi="Times New Roman" w:eastAsia="黑体"/>
          <w:bCs/>
          <w:color w:val="000000" w:themeColor="text1"/>
          <w:sz w:val="36"/>
          <w:szCs w:val="36"/>
          <w14:textFill>
            <w14:solidFill>
              <w14:schemeClr w14:val="tx1"/>
            </w14:solidFill>
          </w14:textFill>
        </w:rPr>
        <w:t>年  月  日</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outlineLvl w:val="1"/>
        <w:rPr>
          <w:rFonts w:ascii="黑体" w:hAnsi="黑体" w:eastAsia="黑体" w:cs="黑体"/>
          <w:bCs/>
          <w:color w:val="000000" w:themeColor="text1"/>
          <w:sz w:val="24"/>
          <w:szCs w:val="24"/>
          <w14:textFill>
            <w14:solidFill>
              <w14:schemeClr w14:val="tx1"/>
            </w14:solidFill>
          </w14:textFill>
        </w:rPr>
      </w:pPr>
      <w:bookmarkStart w:id="8"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8"/>
    </w:p>
    <w:p>
      <w:pPr>
        <w:rPr>
          <w:rFonts w:ascii="黑体" w:hAnsi="黑体" w:eastAsia="黑体" w:cs="黑体"/>
          <w:b/>
          <w:bCs/>
          <w:color w:val="000000" w:themeColor="text1"/>
          <w:sz w:val="24"/>
          <w:szCs w:val="24"/>
          <w14:textFill>
            <w14:solidFill>
              <w14:schemeClr w14:val="tx1"/>
            </w14:solidFill>
          </w14:textFill>
        </w:rPr>
      </w:pPr>
    </w:p>
    <w:p>
      <w:pPr>
        <w:spacing w:line="36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致泰州市人民政府办公室：</w:t>
      </w: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8"/>
        </w:numPr>
        <w:tabs>
          <w:tab w:val="left" w:pos="315"/>
          <w:tab w:val="left" w:pos="840"/>
          <w:tab w:val="left" w:pos="945"/>
          <w:tab w:val="left" w:pos="1050"/>
        </w:tabs>
        <w:spacing w:line="360" w:lineRule="auto"/>
        <w:ind w:left="0"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8"/>
        </w:numPr>
        <w:tabs>
          <w:tab w:val="left" w:pos="0"/>
          <w:tab w:val="left" w:pos="315"/>
          <w:tab w:val="left" w:pos="525"/>
          <w:tab w:val="left" w:pos="840"/>
          <w:tab w:val="left" w:pos="945"/>
          <w:tab w:val="left" w:pos="1050"/>
        </w:tabs>
        <w:spacing w:line="360" w:lineRule="auto"/>
        <w:ind w:left="0" w:firstLine="523" w:firstLineChars="218"/>
        <w:rPr>
          <w:rStyle w:val="9"/>
          <w:rFonts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我方愿意提供泰州市人民政府办公室在采购文件中要求的文件、资料。</w:t>
      </w:r>
    </w:p>
    <w:p>
      <w:pPr>
        <w:numPr>
          <w:ilvl w:val="0"/>
          <w:numId w:val="8"/>
        </w:numPr>
        <w:tabs>
          <w:tab w:val="left" w:pos="0"/>
          <w:tab w:val="left" w:pos="315"/>
          <w:tab w:val="left" w:pos="525"/>
          <w:tab w:val="left" w:pos="630"/>
          <w:tab w:val="left" w:pos="945"/>
          <w:tab w:val="left" w:pos="1050"/>
        </w:tabs>
        <w:spacing w:line="360" w:lineRule="auto"/>
        <w:ind w:left="0" w:firstLine="523" w:firstLineChars="218"/>
        <w:rPr>
          <w:rFonts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8"/>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8"/>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我方认为贵单位有权决定成交者。</w:t>
      </w:r>
    </w:p>
    <w:p>
      <w:pPr>
        <w:numPr>
          <w:ilvl w:val="0"/>
          <w:numId w:val="8"/>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我方愿意遵守《中华人民共和国政府采购法》，并按《中华人民共和国合同法》和合同条款履行自己的全部责任。</w:t>
      </w:r>
    </w:p>
    <w:p>
      <w:pPr>
        <w:numPr>
          <w:ilvl w:val="0"/>
          <w:numId w:val="8"/>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8"/>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1"/>
        <w:rPr>
          <w:rFonts w:ascii="黑体" w:hAnsi="黑体" w:eastAsia="黑体" w:cs="黑体"/>
          <w:bCs/>
          <w:color w:val="000000" w:themeColor="text1"/>
          <w:sz w:val="28"/>
          <w:szCs w:val="28"/>
          <w14:textFill>
            <w14:solidFill>
              <w14:schemeClr w14:val="tx1"/>
            </w14:solidFill>
          </w14:textFill>
        </w:rPr>
      </w:pPr>
      <w:bookmarkStart w:id="9" w:name="_Toc534555663"/>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9"/>
    </w:p>
    <w:p>
      <w:pPr>
        <w:spacing w:line="360" w:lineRule="auto"/>
        <w:rPr>
          <w:rFonts w:ascii="黑体" w:hAnsi="黑体" w:eastAsia="黑体" w:cs="黑体"/>
          <w:bCs/>
          <w:color w:val="000000" w:themeColor="text1"/>
          <w:sz w:val="36"/>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10"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10"/>
    </w:p>
    <w:p>
      <w:pPr>
        <w:jc w:val="center"/>
        <w:rPr>
          <w:rFonts w:ascii="黑体" w:hAnsi="黑体" w:eastAsia="黑体" w:cs="黑体"/>
          <w:bCs/>
          <w:color w:val="000000" w:themeColor="text1"/>
          <w:sz w:val="32"/>
          <w14:textFill>
            <w14:solidFill>
              <w14:schemeClr w14:val="tx1"/>
            </w14:solidFill>
          </w14:textFill>
        </w:rPr>
      </w:pPr>
    </w:p>
    <w:p>
      <w:pPr>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w:t>
      </w:r>
    </w:p>
    <w:p>
      <w:pPr>
        <w:tabs>
          <w:tab w:val="left" w:pos="6300"/>
        </w:tabs>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11"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11"/>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12"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12"/>
    </w:p>
    <w:p>
      <w:pPr>
        <w:spacing w:line="360" w:lineRule="auto"/>
        <w:jc w:val="center"/>
        <w:rPr>
          <w:rFonts w:ascii="黑体" w:hAnsi="黑体" w:eastAsia="黑体" w:cs="黑体"/>
          <w:bCs/>
          <w:color w:val="000000" w:themeColor="text1"/>
          <w:sz w:val="36"/>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w:t>
      </w:r>
      <w:r>
        <w:rPr>
          <w:rFonts w:ascii="黑体" w:hAnsi="黑体" w:eastAsia="黑体" w:cs="黑体"/>
          <w:bCs/>
          <w:color w:val="000000" w:themeColor="text1"/>
          <w:sz w:val="24"/>
          <w:szCs w:val="24"/>
          <w14:textFill>
            <w14:solidFill>
              <w14:schemeClr w14:val="tx1"/>
            </w14:solidFill>
          </w14:textFill>
        </w:rPr>
        <w:t>XXX</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6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outlineLvl w:val="1"/>
        <w:rPr>
          <w:rFonts w:ascii="黑体" w:hAnsi="黑体" w:eastAsia="黑体" w:cs="黑体"/>
          <w:bCs/>
          <w:color w:val="000000" w:themeColor="text1"/>
          <w:sz w:val="24"/>
          <w:szCs w:val="24"/>
          <w14:textFill>
            <w14:solidFill>
              <w14:schemeClr w14:val="tx1"/>
            </w14:solidFill>
          </w14:textFill>
        </w:rPr>
      </w:pPr>
      <w:bookmarkStart w:id="13"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13"/>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ascii="黑体" w:hAnsi="黑体" w:eastAsia="黑体" w:cs="黑体"/>
          <w:color w:val="000000" w:themeColor="text1"/>
          <w14:textFill>
            <w14:solidFill>
              <w14:schemeClr w14:val="tx1"/>
            </w14:solidFill>
          </w14:textFill>
        </w:rPr>
      </w:pPr>
    </w:p>
    <w:p>
      <w:pPr>
        <w:rPr>
          <w:rFonts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人民政府办公室有权将相关内容进行公示。</w:t>
      </w:r>
    </w:p>
    <w:p>
      <w:pPr>
        <w:ind w:firstLine="420" w:firstLineChars="175"/>
        <w:outlineLvl w:val="0"/>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14" w:name="_Toc534555668"/>
    </w:p>
    <w:p>
      <w:pPr>
        <w:ind w:firstLine="420" w:firstLineChars="175"/>
        <w:outlineLvl w:val="1"/>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14"/>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ascii="黑体" w:hAnsi="黑体" w:eastAsia="黑体" w:cs="黑体"/>
          <w:bCs/>
          <w:color w:val="000000" w:themeColor="text1"/>
          <w:sz w:val="28"/>
          <w:szCs w:val="28"/>
          <w14:textFill>
            <w14:solidFill>
              <w14:schemeClr w14:val="tx1"/>
            </w14:solidFill>
          </w14:textFill>
        </w:rPr>
      </w:pPr>
    </w:p>
    <w:p>
      <w:pPr>
        <w:spacing w:line="480" w:lineRule="auto"/>
        <w:rPr>
          <w:rFonts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对本项目（XXX）所提供的货物均为原厂全新合格品；</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"http://www.creditchina.gov.cn" </w:instrText>
      </w:r>
      <w:r>
        <w:rPr>
          <w:color w:val="000000" w:themeColor="text1"/>
          <w14:textFill>
            <w14:solidFill>
              <w14:schemeClr w14:val="tx1"/>
            </w14:solidFill>
          </w14:textFill>
        </w:rPr>
        <w:fldChar w:fldCharType="separate"/>
      </w:r>
      <w:r>
        <w:rPr>
          <w:rStyle w:val="10"/>
          <w:rFonts w:hint="eastAsia" w:ascii="黑体" w:hAnsi="黑体" w:eastAsia="黑体" w:cs="黑体"/>
          <w:bCs/>
          <w:color w:val="000000" w:themeColor="text1"/>
          <w:sz w:val="24"/>
          <w:szCs w:val="24"/>
          <w14:textFill>
            <w14:solidFill>
              <w14:schemeClr w14:val="tx1"/>
            </w14:solidFill>
          </w14:textFill>
        </w:rPr>
        <w:t>www.creditchina.gov.cn</w:t>
      </w:r>
      <w:r>
        <w:rPr>
          <w:rStyle w:val="10"/>
          <w:rFonts w:hint="eastAsia" w:ascii="黑体" w:hAnsi="黑体" w:eastAsia="黑体" w:cs="黑体"/>
          <w:bCs/>
          <w:color w:val="000000" w:themeColor="text1"/>
          <w:sz w:val="24"/>
          <w:szCs w:val="24"/>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ascii="黑体" w:hAnsi="黑体" w:eastAsia="黑体" w:cs="黑体"/>
          <w:color w:val="000000" w:themeColor="text1"/>
          <w:sz w:val="24"/>
          <w14:textFill>
            <w14:solidFill>
              <w14:schemeClr w14:val="tx1"/>
            </w14:solidFill>
          </w14:textFill>
        </w:rPr>
      </w:pPr>
    </w:p>
    <w:p>
      <w:pPr>
        <w:spacing w:line="480" w:lineRule="auto"/>
        <w:ind w:firstLine="5400" w:firstLineChars="2250"/>
        <w:rPr>
          <w:rFonts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szCs w:val="20"/>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bookmarkStart w:id="15"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15"/>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16"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16"/>
      <w:r>
        <w:rPr>
          <w:rFonts w:hint="eastAsia" w:ascii="黑体" w:hAnsi="黑体" w:eastAsia="黑体" w:cs="黑体"/>
          <w:bCs/>
          <w:color w:val="000000" w:themeColor="text1"/>
          <w:sz w:val="28"/>
          <w:szCs w:val="28"/>
          <w14:textFill>
            <w14:solidFill>
              <w14:schemeClr w14:val="tx1"/>
            </w14:solidFill>
          </w14:textFill>
        </w:rPr>
        <w:t xml:space="preserve"> </w:t>
      </w:r>
    </w:p>
    <w:p>
      <w:pPr>
        <w:jc w:val="center"/>
        <w:rPr>
          <w:rFonts w:ascii="黑体" w:hAnsi="黑体" w:eastAsia="黑体" w:cs="黑体"/>
          <w:bCs/>
          <w:color w:val="000000" w:themeColor="text1"/>
          <w:sz w:val="28"/>
          <w:szCs w:val="28"/>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6"/>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vAlign w:val="center"/>
          </w:tcPr>
          <w:p>
            <w:pPr>
              <w:pStyle w:val="11"/>
              <w:spacing w:line="400" w:lineRule="exact"/>
              <w:jc w:val="center"/>
              <w:rPr>
                <w:rFonts w:ascii="黑体" w:hAnsi="黑体" w:eastAsia="黑体" w:cs="黑体"/>
                <w:bCs/>
                <w:color w:val="000000" w:themeColor="text1"/>
                <w:kern w:val="2"/>
                <w:szCs w:val="24"/>
                <w14:textFill>
                  <w14:solidFill>
                    <w14:schemeClr w14:val="tx1"/>
                  </w14:solidFill>
                </w14:textFill>
              </w:rPr>
            </w:pPr>
            <w:r>
              <w:rPr>
                <w:rFonts w:hint="eastAsia" w:ascii="黑体" w:hAnsi="黑体" w:eastAsia="黑体" w:cs="黑体"/>
                <w:bCs/>
                <w:color w:val="000000" w:themeColor="text1"/>
                <w:kern w:val="2"/>
                <w:szCs w:val="24"/>
                <w14:textFill>
                  <w14:solidFill>
                    <w14:schemeClr w14:val="tx1"/>
                  </w14:solidFill>
                </w14:textFill>
              </w:rPr>
              <w:t>2022年泰州市政府网站群季度监测服务</w:t>
            </w:r>
          </w:p>
        </w:tc>
        <w:tc>
          <w:tcPr>
            <w:tcW w:w="4515" w:type="dxa"/>
            <w:tcBorders>
              <w:top w:val="single" w:color="auto" w:sz="4" w:space="0"/>
              <w:left w:val="single" w:color="auto" w:sz="4" w:space="0"/>
              <w:bottom w:val="single" w:color="auto" w:sz="4" w:space="0"/>
              <w:right w:val="single" w:color="auto" w:sz="4" w:space="0"/>
            </w:tcBorders>
            <w:vAlign w:val="center"/>
          </w:tcPr>
          <w:p>
            <w:pPr>
              <w:pStyle w:val="11"/>
              <w:rPr>
                <w:rFonts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17"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17"/>
    </w:p>
    <w:p>
      <w:pPr>
        <w:spacing w:line="400" w:lineRule="exact"/>
        <w:jc w:val="center"/>
        <w:rPr>
          <w:rFonts w:ascii="黑体" w:hAnsi="黑体" w:eastAsia="黑体" w:cs="黑体"/>
          <w:bCs/>
          <w:color w:val="000000" w:themeColor="text1"/>
          <w:sz w:val="28"/>
          <w:szCs w:val="28"/>
          <w14:textFill>
            <w14:solidFill>
              <w14:schemeClr w14:val="tx1"/>
            </w14:solidFill>
          </w14:textFill>
        </w:rPr>
      </w:pPr>
      <w:bookmarkStart w:id="18" w:name="_Toc534555672"/>
    </w:p>
    <w:p>
      <w:pPr>
        <w:spacing w:line="400" w:lineRule="exact"/>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明细报价表</w:t>
      </w:r>
      <w:bookmarkEnd w:id="18"/>
    </w:p>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6"/>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846"/>
        <w:gridCol w:w="146"/>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spacing w:before="5"/>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5240"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4540" w:type="dxa"/>
            <w:gridSpan w:val="5"/>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rPr>
          <w:rFonts w:ascii="黑体" w:hAnsi="黑体" w:eastAsia="黑体" w:cs="黑体"/>
          <w:bCs/>
          <w:color w:val="000000" w:themeColor="text1"/>
          <w:sz w:val="28"/>
          <w:szCs w:val="28"/>
          <w14:textFill>
            <w14:solidFill>
              <w14:schemeClr w14:val="tx1"/>
            </w14:solidFill>
          </w14:textFill>
        </w:rPr>
      </w:pPr>
      <w:bookmarkStart w:id="19" w:name="_Toc534555673"/>
    </w:p>
    <w:p>
      <w:pPr>
        <w:spacing w:line="400" w:lineRule="exact"/>
        <w:jc w:val="center"/>
        <w:outlineLvl w:val="1"/>
        <w:rPr>
          <w:rFonts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（八）采购需求响应表</w:t>
      </w:r>
      <w:bookmarkEnd w:id="19"/>
    </w:p>
    <w:p>
      <w:pPr>
        <w:spacing w:line="400" w:lineRule="exact"/>
        <w:rPr>
          <w:rFonts w:ascii="黑体" w:hAnsi="黑体" w:eastAsia="黑体" w:cs="黑体"/>
          <w:bCs/>
          <w:color w:val="000000" w:themeColor="text1"/>
          <w:sz w:val="24"/>
          <w:szCs w:val="24"/>
          <w14:textFill>
            <w14:solidFill>
              <w14:schemeClr w14:val="tx1"/>
            </w14:solidFill>
          </w14:textFill>
        </w:rPr>
      </w:pPr>
    </w:p>
    <w:tbl>
      <w:tblPr>
        <w:tblStyle w:val="6"/>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bl>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rPr>
          <w:rFonts w:ascii="黑体" w:hAnsi="黑体" w:eastAsia="黑体" w:cs="黑体"/>
          <w:bCs/>
          <w:color w:val="000000" w:themeColor="text1"/>
          <w:szCs w:val="21"/>
          <w14:textFill>
            <w14:solidFill>
              <w14:schemeClr w14:val="tx1"/>
            </w14:solidFill>
          </w14:textFill>
        </w:rPr>
      </w:pPr>
      <w:bookmarkStart w:id="20"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20"/>
    </w:p>
    <w:p>
      <w:pPr>
        <w:spacing w:line="400" w:lineRule="exact"/>
        <w:rPr>
          <w:rFonts w:ascii="黑体" w:hAnsi="黑体" w:eastAsia="黑体" w:cs="黑体"/>
          <w:bCs/>
          <w:color w:val="000000" w:themeColor="text1"/>
          <w:szCs w:val="21"/>
          <w14:textFill>
            <w14:solidFill>
              <w14:schemeClr w14:val="tx1"/>
            </w14:solidFill>
          </w14:textFill>
        </w:rPr>
      </w:pPr>
      <w:bookmarkStart w:id="21"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21"/>
    </w:p>
    <w:p>
      <w:pPr>
        <w:spacing w:line="400" w:lineRule="exact"/>
        <w:rPr>
          <w:rFonts w:ascii="黑体" w:hAnsi="黑体" w:eastAsia="黑体" w:cs="黑体"/>
          <w:color w:val="000000" w:themeColor="text1"/>
          <w14:textFill>
            <w14:solidFill>
              <w14:schemeClr w14:val="tx1"/>
            </w14:solidFill>
          </w14:textFill>
        </w:rPr>
      </w:pPr>
      <w:bookmarkStart w:id="22"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22"/>
    </w:p>
    <w:p>
      <w:pPr>
        <w:jc w:val="center"/>
        <w:rPr>
          <w:rFonts w:ascii="黑体" w:hAnsi="黑体" w:eastAsia="黑体" w:cs="黑体"/>
          <w:color w:val="000000" w:themeColor="text1"/>
          <w:sz w:val="30"/>
          <w:szCs w:val="30"/>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swiss"/>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4D4892"/>
    <w:multiLevelType w:val="singleLevel"/>
    <w:tmpl w:val="004D4892"/>
    <w:lvl w:ilvl="0" w:tentative="0">
      <w:start w:val="1"/>
      <w:numFmt w:val="decimal"/>
      <w:lvlText w:val="%1."/>
      <w:lvlJc w:val="left"/>
      <w:pPr>
        <w:tabs>
          <w:tab w:val="left" w:pos="312"/>
        </w:tabs>
      </w:pPr>
    </w:lvl>
  </w:abstractNum>
  <w:abstractNum w:abstractNumId="1">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48C4546"/>
    <w:multiLevelType w:val="singleLevel"/>
    <w:tmpl w:val="248C4546"/>
    <w:lvl w:ilvl="0" w:tentative="0">
      <w:start w:val="1"/>
      <w:numFmt w:val="decimal"/>
      <w:lvlText w:val="%1."/>
      <w:lvlJc w:val="left"/>
      <w:pPr>
        <w:tabs>
          <w:tab w:val="left" w:pos="312"/>
        </w:tabs>
      </w:pPr>
    </w:lvl>
  </w:abstractNum>
  <w:abstractNum w:abstractNumId="3">
    <w:nsid w:val="41121506"/>
    <w:multiLevelType w:val="singleLevel"/>
    <w:tmpl w:val="41121506"/>
    <w:lvl w:ilvl="0" w:tentative="0">
      <w:start w:val="1"/>
      <w:numFmt w:val="decimal"/>
      <w:lvlText w:val="%1."/>
      <w:lvlJc w:val="left"/>
      <w:pPr>
        <w:tabs>
          <w:tab w:val="left" w:pos="312"/>
        </w:tabs>
      </w:pPr>
    </w:lvl>
  </w:abstractNum>
  <w:abstractNum w:abstractNumId="4">
    <w:nsid w:val="5C987071"/>
    <w:multiLevelType w:val="singleLevel"/>
    <w:tmpl w:val="5C987071"/>
    <w:lvl w:ilvl="0" w:tentative="0">
      <w:start w:val="1"/>
      <w:numFmt w:val="decimal"/>
      <w:lvlText w:val="%1."/>
      <w:lvlJc w:val="left"/>
      <w:pPr>
        <w:tabs>
          <w:tab w:val="left" w:pos="312"/>
        </w:tabs>
      </w:pPr>
    </w:lvl>
  </w:abstractNum>
  <w:abstractNum w:abstractNumId="5">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160B48"/>
    <w:multiLevelType w:val="singleLevel"/>
    <w:tmpl w:val="72160B48"/>
    <w:lvl w:ilvl="0" w:tentative="0">
      <w:start w:val="1"/>
      <w:numFmt w:val="decimal"/>
      <w:suff w:val="nothing"/>
      <w:lvlText w:val="%1．"/>
      <w:lvlJc w:val="left"/>
    </w:lvl>
  </w:abstractNum>
  <w:abstractNum w:abstractNumId="7">
    <w:nsid w:val="796E309B"/>
    <w:multiLevelType w:val="singleLevel"/>
    <w:tmpl w:val="796E309B"/>
    <w:lvl w:ilvl="0" w:tentative="0">
      <w:start w:val="1"/>
      <w:numFmt w:val="decimal"/>
      <w:suff w:val="nothing"/>
      <w:lvlText w:val="%1．"/>
      <w:lvlJc w:val="left"/>
    </w:lvl>
  </w:abstractNum>
  <w:num w:numId="1">
    <w:abstractNumId w:val="1"/>
  </w:num>
  <w:num w:numId="2">
    <w:abstractNumId w:val="0"/>
  </w:num>
  <w:num w:numId="3">
    <w:abstractNumId w:val="3"/>
  </w:num>
  <w:num w:numId="4">
    <w:abstractNumId w:val="6"/>
  </w:num>
  <w:num w:numId="5">
    <w:abstractNumId w:val="2"/>
  </w:num>
  <w:num w:numId="6">
    <w:abstractNumId w:val="7"/>
  </w:num>
  <w:num w:numId="7">
    <w:abstractNumId w:val="4"/>
  </w:num>
  <w:num w:numId="8">
    <w:abstractNumId w:val="5"/>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E7DC9"/>
    <w:rsid w:val="00044E47"/>
    <w:rsid w:val="000650FB"/>
    <w:rsid w:val="0011252B"/>
    <w:rsid w:val="00133387"/>
    <w:rsid w:val="00141EA5"/>
    <w:rsid w:val="00172BED"/>
    <w:rsid w:val="00204EB0"/>
    <w:rsid w:val="00232617"/>
    <w:rsid w:val="00292B47"/>
    <w:rsid w:val="002E14C6"/>
    <w:rsid w:val="00330DF8"/>
    <w:rsid w:val="003D138F"/>
    <w:rsid w:val="00475F91"/>
    <w:rsid w:val="004F5124"/>
    <w:rsid w:val="007A778C"/>
    <w:rsid w:val="007E2EF7"/>
    <w:rsid w:val="00832B93"/>
    <w:rsid w:val="008A483A"/>
    <w:rsid w:val="008B3073"/>
    <w:rsid w:val="00972EE5"/>
    <w:rsid w:val="00A861BE"/>
    <w:rsid w:val="00B44849"/>
    <w:rsid w:val="00BB4BAD"/>
    <w:rsid w:val="00C42075"/>
    <w:rsid w:val="00D41ABF"/>
    <w:rsid w:val="010603B8"/>
    <w:rsid w:val="012375FA"/>
    <w:rsid w:val="01A47274"/>
    <w:rsid w:val="01B43460"/>
    <w:rsid w:val="01FF774D"/>
    <w:rsid w:val="021C0046"/>
    <w:rsid w:val="02600065"/>
    <w:rsid w:val="02916808"/>
    <w:rsid w:val="02933CF1"/>
    <w:rsid w:val="029F7154"/>
    <w:rsid w:val="02AA088B"/>
    <w:rsid w:val="03532830"/>
    <w:rsid w:val="03741E07"/>
    <w:rsid w:val="038B57F0"/>
    <w:rsid w:val="038C6E0E"/>
    <w:rsid w:val="03913842"/>
    <w:rsid w:val="04610B65"/>
    <w:rsid w:val="04A24874"/>
    <w:rsid w:val="04E549D9"/>
    <w:rsid w:val="04F00CE2"/>
    <w:rsid w:val="05180BF9"/>
    <w:rsid w:val="05423654"/>
    <w:rsid w:val="055F2BCB"/>
    <w:rsid w:val="05BE41B0"/>
    <w:rsid w:val="0653437F"/>
    <w:rsid w:val="06F60EEA"/>
    <w:rsid w:val="06FE3AD0"/>
    <w:rsid w:val="0717563C"/>
    <w:rsid w:val="07305D00"/>
    <w:rsid w:val="077B7867"/>
    <w:rsid w:val="08176F8E"/>
    <w:rsid w:val="08547E6E"/>
    <w:rsid w:val="08806BF3"/>
    <w:rsid w:val="088A442E"/>
    <w:rsid w:val="08BC37E6"/>
    <w:rsid w:val="08F9299B"/>
    <w:rsid w:val="09257BCC"/>
    <w:rsid w:val="098C6266"/>
    <w:rsid w:val="09EB2527"/>
    <w:rsid w:val="09F3749B"/>
    <w:rsid w:val="0A6B1393"/>
    <w:rsid w:val="0A99092D"/>
    <w:rsid w:val="0ACC61C5"/>
    <w:rsid w:val="0B07436C"/>
    <w:rsid w:val="0B136931"/>
    <w:rsid w:val="0B30303F"/>
    <w:rsid w:val="0B317C40"/>
    <w:rsid w:val="0B6F669C"/>
    <w:rsid w:val="0BED6D00"/>
    <w:rsid w:val="0C0F52A2"/>
    <w:rsid w:val="0C1D2948"/>
    <w:rsid w:val="0CFF0F1B"/>
    <w:rsid w:val="0DC669D4"/>
    <w:rsid w:val="0DCA452C"/>
    <w:rsid w:val="0E09687B"/>
    <w:rsid w:val="0E53141C"/>
    <w:rsid w:val="0EA978B3"/>
    <w:rsid w:val="0EAB3E35"/>
    <w:rsid w:val="0EDF3D95"/>
    <w:rsid w:val="0F2774C7"/>
    <w:rsid w:val="0F3A4205"/>
    <w:rsid w:val="0F5336EF"/>
    <w:rsid w:val="0FD77F2D"/>
    <w:rsid w:val="0FE54F1B"/>
    <w:rsid w:val="0FF4037D"/>
    <w:rsid w:val="0FFF39C6"/>
    <w:rsid w:val="10035C53"/>
    <w:rsid w:val="10455129"/>
    <w:rsid w:val="10802373"/>
    <w:rsid w:val="10DD30C0"/>
    <w:rsid w:val="11321CCC"/>
    <w:rsid w:val="11496C09"/>
    <w:rsid w:val="1202426A"/>
    <w:rsid w:val="12352A26"/>
    <w:rsid w:val="1285104A"/>
    <w:rsid w:val="12961C7E"/>
    <w:rsid w:val="12D7480E"/>
    <w:rsid w:val="13702B73"/>
    <w:rsid w:val="13A03FDE"/>
    <w:rsid w:val="13B16579"/>
    <w:rsid w:val="13D12903"/>
    <w:rsid w:val="13EE0BF5"/>
    <w:rsid w:val="13F76773"/>
    <w:rsid w:val="141D25CF"/>
    <w:rsid w:val="143407DB"/>
    <w:rsid w:val="1514752E"/>
    <w:rsid w:val="152E1DCE"/>
    <w:rsid w:val="164646ED"/>
    <w:rsid w:val="1653052A"/>
    <w:rsid w:val="16973B64"/>
    <w:rsid w:val="177607DB"/>
    <w:rsid w:val="17DF4208"/>
    <w:rsid w:val="182C1AE5"/>
    <w:rsid w:val="18381785"/>
    <w:rsid w:val="184A3F75"/>
    <w:rsid w:val="187A755D"/>
    <w:rsid w:val="18831D69"/>
    <w:rsid w:val="188B1D38"/>
    <w:rsid w:val="18BC4164"/>
    <w:rsid w:val="18CD6858"/>
    <w:rsid w:val="18DB4B3E"/>
    <w:rsid w:val="194902DE"/>
    <w:rsid w:val="196E143D"/>
    <w:rsid w:val="196E54EF"/>
    <w:rsid w:val="199A1428"/>
    <w:rsid w:val="19AC70AA"/>
    <w:rsid w:val="19BA1A34"/>
    <w:rsid w:val="19D1529B"/>
    <w:rsid w:val="1A4033B9"/>
    <w:rsid w:val="1A5C0D03"/>
    <w:rsid w:val="1A727520"/>
    <w:rsid w:val="1B0F559D"/>
    <w:rsid w:val="1BC44B51"/>
    <w:rsid w:val="1BC473FC"/>
    <w:rsid w:val="1BCC313F"/>
    <w:rsid w:val="1C8E6AFB"/>
    <w:rsid w:val="1D122806"/>
    <w:rsid w:val="1D347041"/>
    <w:rsid w:val="1D3F17D1"/>
    <w:rsid w:val="1D970B80"/>
    <w:rsid w:val="1D9F21EE"/>
    <w:rsid w:val="1DAD449C"/>
    <w:rsid w:val="1DD27F86"/>
    <w:rsid w:val="1DEC54EC"/>
    <w:rsid w:val="1E4F3472"/>
    <w:rsid w:val="1EB7078B"/>
    <w:rsid w:val="1F001448"/>
    <w:rsid w:val="1F09438B"/>
    <w:rsid w:val="20355085"/>
    <w:rsid w:val="20901FD7"/>
    <w:rsid w:val="20A27562"/>
    <w:rsid w:val="20AC7BD8"/>
    <w:rsid w:val="20BC230A"/>
    <w:rsid w:val="218D705C"/>
    <w:rsid w:val="21CC1459"/>
    <w:rsid w:val="21D8575E"/>
    <w:rsid w:val="2207096E"/>
    <w:rsid w:val="22486A69"/>
    <w:rsid w:val="2299783B"/>
    <w:rsid w:val="22BA120B"/>
    <w:rsid w:val="233A2407"/>
    <w:rsid w:val="2383154E"/>
    <w:rsid w:val="23860C42"/>
    <w:rsid w:val="239E5047"/>
    <w:rsid w:val="23BC3C16"/>
    <w:rsid w:val="23D94EDC"/>
    <w:rsid w:val="24845DF0"/>
    <w:rsid w:val="256A49D2"/>
    <w:rsid w:val="26293F40"/>
    <w:rsid w:val="266A01AB"/>
    <w:rsid w:val="26901106"/>
    <w:rsid w:val="26DF400F"/>
    <w:rsid w:val="274574A6"/>
    <w:rsid w:val="274640EA"/>
    <w:rsid w:val="27C60B5C"/>
    <w:rsid w:val="27F85949"/>
    <w:rsid w:val="28136AB9"/>
    <w:rsid w:val="283E401C"/>
    <w:rsid w:val="28682FE3"/>
    <w:rsid w:val="291D0C4F"/>
    <w:rsid w:val="294E705B"/>
    <w:rsid w:val="29891E41"/>
    <w:rsid w:val="299B3862"/>
    <w:rsid w:val="29FD282F"/>
    <w:rsid w:val="2A124972"/>
    <w:rsid w:val="2A253741"/>
    <w:rsid w:val="2A617E81"/>
    <w:rsid w:val="2AA7448F"/>
    <w:rsid w:val="2ABB4970"/>
    <w:rsid w:val="2AED0E83"/>
    <w:rsid w:val="2B0D0850"/>
    <w:rsid w:val="2B113A97"/>
    <w:rsid w:val="2B1E480B"/>
    <w:rsid w:val="2B2006FF"/>
    <w:rsid w:val="2B7E174D"/>
    <w:rsid w:val="2BAE7DC9"/>
    <w:rsid w:val="2BE53280"/>
    <w:rsid w:val="2C5D2581"/>
    <w:rsid w:val="2D001B1A"/>
    <w:rsid w:val="2D530423"/>
    <w:rsid w:val="2D5F08EF"/>
    <w:rsid w:val="2D6F31C0"/>
    <w:rsid w:val="2E093550"/>
    <w:rsid w:val="2EA342C1"/>
    <w:rsid w:val="2EA634DC"/>
    <w:rsid w:val="2EBD369F"/>
    <w:rsid w:val="2ED20AEB"/>
    <w:rsid w:val="2F5B602D"/>
    <w:rsid w:val="2FAA7085"/>
    <w:rsid w:val="301E1907"/>
    <w:rsid w:val="30240B15"/>
    <w:rsid w:val="30AC568D"/>
    <w:rsid w:val="30AD35D4"/>
    <w:rsid w:val="30C27406"/>
    <w:rsid w:val="30DA71DA"/>
    <w:rsid w:val="30E5758C"/>
    <w:rsid w:val="31097137"/>
    <w:rsid w:val="313461DC"/>
    <w:rsid w:val="313528AE"/>
    <w:rsid w:val="315C7ECA"/>
    <w:rsid w:val="3167733C"/>
    <w:rsid w:val="3173124F"/>
    <w:rsid w:val="31EE1FB8"/>
    <w:rsid w:val="31F86124"/>
    <w:rsid w:val="326A2A2B"/>
    <w:rsid w:val="32AC4DF2"/>
    <w:rsid w:val="32B81199"/>
    <w:rsid w:val="330C4BDB"/>
    <w:rsid w:val="339E2391"/>
    <w:rsid w:val="33A2516B"/>
    <w:rsid w:val="33A92693"/>
    <w:rsid w:val="33C63297"/>
    <w:rsid w:val="3420663B"/>
    <w:rsid w:val="342B6450"/>
    <w:rsid w:val="344A16FB"/>
    <w:rsid w:val="34C53F49"/>
    <w:rsid w:val="35432EF2"/>
    <w:rsid w:val="3569358A"/>
    <w:rsid w:val="35CE72AF"/>
    <w:rsid w:val="361531EB"/>
    <w:rsid w:val="36462ACF"/>
    <w:rsid w:val="36767802"/>
    <w:rsid w:val="36CE44BD"/>
    <w:rsid w:val="3713385A"/>
    <w:rsid w:val="374F56CD"/>
    <w:rsid w:val="379239EA"/>
    <w:rsid w:val="37FC5A23"/>
    <w:rsid w:val="391E03F5"/>
    <w:rsid w:val="39CA2BC5"/>
    <w:rsid w:val="3A2D6C50"/>
    <w:rsid w:val="3A766297"/>
    <w:rsid w:val="3AFC42C0"/>
    <w:rsid w:val="3B2F16B7"/>
    <w:rsid w:val="3B64270E"/>
    <w:rsid w:val="3BA00212"/>
    <w:rsid w:val="3BB40C45"/>
    <w:rsid w:val="3BBB240E"/>
    <w:rsid w:val="3BC839CB"/>
    <w:rsid w:val="3BE42C77"/>
    <w:rsid w:val="3BFF5F92"/>
    <w:rsid w:val="3C8F071A"/>
    <w:rsid w:val="3C940F04"/>
    <w:rsid w:val="3D1A67AD"/>
    <w:rsid w:val="3D1C245F"/>
    <w:rsid w:val="3D4C14DA"/>
    <w:rsid w:val="3DAA67EA"/>
    <w:rsid w:val="3DAC37A6"/>
    <w:rsid w:val="3DFE4381"/>
    <w:rsid w:val="3E927592"/>
    <w:rsid w:val="3F2F723D"/>
    <w:rsid w:val="3F86126B"/>
    <w:rsid w:val="3F8805CA"/>
    <w:rsid w:val="3FAF7CCF"/>
    <w:rsid w:val="40C66D7C"/>
    <w:rsid w:val="40C87E01"/>
    <w:rsid w:val="40CD7D8B"/>
    <w:rsid w:val="40D03CF0"/>
    <w:rsid w:val="4162566B"/>
    <w:rsid w:val="417E5BAB"/>
    <w:rsid w:val="419569C9"/>
    <w:rsid w:val="41A3367B"/>
    <w:rsid w:val="41B93D8E"/>
    <w:rsid w:val="42E324BF"/>
    <w:rsid w:val="435272F0"/>
    <w:rsid w:val="43B32386"/>
    <w:rsid w:val="43FC0159"/>
    <w:rsid w:val="445A54A3"/>
    <w:rsid w:val="446E5ABA"/>
    <w:rsid w:val="448E27E0"/>
    <w:rsid w:val="44A010D3"/>
    <w:rsid w:val="44C63EF6"/>
    <w:rsid w:val="450F2F4D"/>
    <w:rsid w:val="455C02BA"/>
    <w:rsid w:val="45974534"/>
    <w:rsid w:val="460778FA"/>
    <w:rsid w:val="46157DE1"/>
    <w:rsid w:val="46390A32"/>
    <w:rsid w:val="46BB51AC"/>
    <w:rsid w:val="47BB36B5"/>
    <w:rsid w:val="47C17695"/>
    <w:rsid w:val="48254FD3"/>
    <w:rsid w:val="482853D0"/>
    <w:rsid w:val="484130D8"/>
    <w:rsid w:val="487B2E45"/>
    <w:rsid w:val="488419C4"/>
    <w:rsid w:val="48B53D5E"/>
    <w:rsid w:val="48BA7693"/>
    <w:rsid w:val="48E1614C"/>
    <w:rsid w:val="49463453"/>
    <w:rsid w:val="495D2A63"/>
    <w:rsid w:val="4962490E"/>
    <w:rsid w:val="49C21F60"/>
    <w:rsid w:val="4A2B46A6"/>
    <w:rsid w:val="4A43504F"/>
    <w:rsid w:val="4A77471A"/>
    <w:rsid w:val="4A8325B4"/>
    <w:rsid w:val="4A843E98"/>
    <w:rsid w:val="4B2F5D46"/>
    <w:rsid w:val="4C653FA5"/>
    <w:rsid w:val="4C7A2F8A"/>
    <w:rsid w:val="4C9452B1"/>
    <w:rsid w:val="4CB4602F"/>
    <w:rsid w:val="4CC0037C"/>
    <w:rsid w:val="4CF3001A"/>
    <w:rsid w:val="4CF46F70"/>
    <w:rsid w:val="4DD116C7"/>
    <w:rsid w:val="4E9632DF"/>
    <w:rsid w:val="4EB073B6"/>
    <w:rsid w:val="4EC67983"/>
    <w:rsid w:val="4EE541A0"/>
    <w:rsid w:val="4FB335BE"/>
    <w:rsid w:val="503D45AF"/>
    <w:rsid w:val="506814F7"/>
    <w:rsid w:val="507C3BFE"/>
    <w:rsid w:val="50C94AC3"/>
    <w:rsid w:val="50E672C9"/>
    <w:rsid w:val="51424D29"/>
    <w:rsid w:val="514C1FFB"/>
    <w:rsid w:val="514E4A3B"/>
    <w:rsid w:val="5157501E"/>
    <w:rsid w:val="51DF1C08"/>
    <w:rsid w:val="51F543D1"/>
    <w:rsid w:val="5203566E"/>
    <w:rsid w:val="5250558C"/>
    <w:rsid w:val="525577BF"/>
    <w:rsid w:val="52794DEA"/>
    <w:rsid w:val="529F5F77"/>
    <w:rsid w:val="52AE2E4B"/>
    <w:rsid w:val="5325057D"/>
    <w:rsid w:val="53867E18"/>
    <w:rsid w:val="53B357A0"/>
    <w:rsid w:val="53EC1512"/>
    <w:rsid w:val="549E05E7"/>
    <w:rsid w:val="54CB1B54"/>
    <w:rsid w:val="54E3272C"/>
    <w:rsid w:val="54EC3C83"/>
    <w:rsid w:val="55214D74"/>
    <w:rsid w:val="555A19FA"/>
    <w:rsid w:val="55867F89"/>
    <w:rsid w:val="55A37825"/>
    <w:rsid w:val="55C20305"/>
    <w:rsid w:val="562C577E"/>
    <w:rsid w:val="56301712"/>
    <w:rsid w:val="56A342BF"/>
    <w:rsid w:val="57567E33"/>
    <w:rsid w:val="57935C2B"/>
    <w:rsid w:val="579B705F"/>
    <w:rsid w:val="57AE0B41"/>
    <w:rsid w:val="57C57028"/>
    <w:rsid w:val="57CC4E98"/>
    <w:rsid w:val="57E16138"/>
    <w:rsid w:val="580F5323"/>
    <w:rsid w:val="58331046"/>
    <w:rsid w:val="585B1535"/>
    <w:rsid w:val="586104BF"/>
    <w:rsid w:val="58815BB6"/>
    <w:rsid w:val="58F15E5A"/>
    <w:rsid w:val="591A6C49"/>
    <w:rsid w:val="5999137D"/>
    <w:rsid w:val="5A017314"/>
    <w:rsid w:val="5A0D0A2D"/>
    <w:rsid w:val="5A3918D1"/>
    <w:rsid w:val="5A5257C7"/>
    <w:rsid w:val="5A545413"/>
    <w:rsid w:val="5A912E85"/>
    <w:rsid w:val="5A9F4BAA"/>
    <w:rsid w:val="5AC2519E"/>
    <w:rsid w:val="5B114D75"/>
    <w:rsid w:val="5BA612DD"/>
    <w:rsid w:val="5BE65BED"/>
    <w:rsid w:val="5C4F45D9"/>
    <w:rsid w:val="5C7435C7"/>
    <w:rsid w:val="5CB5143D"/>
    <w:rsid w:val="5CBD5382"/>
    <w:rsid w:val="5CFB2509"/>
    <w:rsid w:val="5D7C6FEB"/>
    <w:rsid w:val="5DCA3BC2"/>
    <w:rsid w:val="5DCD3D84"/>
    <w:rsid w:val="5E156CE8"/>
    <w:rsid w:val="5E714676"/>
    <w:rsid w:val="5E865978"/>
    <w:rsid w:val="5ECC6013"/>
    <w:rsid w:val="5EDF0D80"/>
    <w:rsid w:val="5F49412A"/>
    <w:rsid w:val="5F553840"/>
    <w:rsid w:val="5FB507E3"/>
    <w:rsid w:val="5FFC560E"/>
    <w:rsid w:val="604D23A5"/>
    <w:rsid w:val="609A0B1D"/>
    <w:rsid w:val="609B32A8"/>
    <w:rsid w:val="61147F15"/>
    <w:rsid w:val="6247394A"/>
    <w:rsid w:val="62E2326E"/>
    <w:rsid w:val="62E80F92"/>
    <w:rsid w:val="62F603F2"/>
    <w:rsid w:val="63377DBA"/>
    <w:rsid w:val="635C56E2"/>
    <w:rsid w:val="63676CF4"/>
    <w:rsid w:val="638906B4"/>
    <w:rsid w:val="644D4E28"/>
    <w:rsid w:val="64793D54"/>
    <w:rsid w:val="64846AFF"/>
    <w:rsid w:val="65C8066C"/>
    <w:rsid w:val="65F2282A"/>
    <w:rsid w:val="665D0DC8"/>
    <w:rsid w:val="66753360"/>
    <w:rsid w:val="670D06CD"/>
    <w:rsid w:val="672656D9"/>
    <w:rsid w:val="67565C7E"/>
    <w:rsid w:val="675954A1"/>
    <w:rsid w:val="67A46A60"/>
    <w:rsid w:val="67A665F9"/>
    <w:rsid w:val="67B05F5B"/>
    <w:rsid w:val="68055D8C"/>
    <w:rsid w:val="681B518D"/>
    <w:rsid w:val="68242684"/>
    <w:rsid w:val="68331AA0"/>
    <w:rsid w:val="686456D7"/>
    <w:rsid w:val="687C3BF5"/>
    <w:rsid w:val="688B0A2A"/>
    <w:rsid w:val="688B0AA1"/>
    <w:rsid w:val="689C1C4D"/>
    <w:rsid w:val="68E237BF"/>
    <w:rsid w:val="68EF7CC2"/>
    <w:rsid w:val="69194288"/>
    <w:rsid w:val="696427A8"/>
    <w:rsid w:val="69860523"/>
    <w:rsid w:val="69926EB4"/>
    <w:rsid w:val="69C67D3B"/>
    <w:rsid w:val="6A2904FB"/>
    <w:rsid w:val="6A2C1D99"/>
    <w:rsid w:val="6ADA4CF4"/>
    <w:rsid w:val="6B167C88"/>
    <w:rsid w:val="6BC50BD6"/>
    <w:rsid w:val="6BD74428"/>
    <w:rsid w:val="6CC44C93"/>
    <w:rsid w:val="6D4249BD"/>
    <w:rsid w:val="6D5239D7"/>
    <w:rsid w:val="6DD76181"/>
    <w:rsid w:val="6DF77C1C"/>
    <w:rsid w:val="6E0E3C8F"/>
    <w:rsid w:val="6E354F33"/>
    <w:rsid w:val="6EF14DCE"/>
    <w:rsid w:val="6FCD69DE"/>
    <w:rsid w:val="700D38BA"/>
    <w:rsid w:val="702A75CC"/>
    <w:rsid w:val="71A05546"/>
    <w:rsid w:val="71AA5D0F"/>
    <w:rsid w:val="71E5623C"/>
    <w:rsid w:val="722E5CA0"/>
    <w:rsid w:val="724F304C"/>
    <w:rsid w:val="72593834"/>
    <w:rsid w:val="725B71E8"/>
    <w:rsid w:val="72A75159"/>
    <w:rsid w:val="73474106"/>
    <w:rsid w:val="738A025C"/>
    <w:rsid w:val="748B40F7"/>
    <w:rsid w:val="758A339B"/>
    <w:rsid w:val="759060C1"/>
    <w:rsid w:val="75964A50"/>
    <w:rsid w:val="75C225F2"/>
    <w:rsid w:val="7625601A"/>
    <w:rsid w:val="76292D9B"/>
    <w:rsid w:val="76366479"/>
    <w:rsid w:val="763C15B6"/>
    <w:rsid w:val="76593F16"/>
    <w:rsid w:val="767C78F2"/>
    <w:rsid w:val="76A005BE"/>
    <w:rsid w:val="76C770D1"/>
    <w:rsid w:val="772E0EFE"/>
    <w:rsid w:val="7743072A"/>
    <w:rsid w:val="77541B63"/>
    <w:rsid w:val="7758279B"/>
    <w:rsid w:val="77D31AA6"/>
    <w:rsid w:val="77E96D32"/>
    <w:rsid w:val="781406A8"/>
    <w:rsid w:val="784547D6"/>
    <w:rsid w:val="78463A7B"/>
    <w:rsid w:val="78D60608"/>
    <w:rsid w:val="793D7990"/>
    <w:rsid w:val="793F2F4F"/>
    <w:rsid w:val="795175A4"/>
    <w:rsid w:val="798B24E5"/>
    <w:rsid w:val="79CF4DFE"/>
    <w:rsid w:val="7A141D64"/>
    <w:rsid w:val="7A770D9F"/>
    <w:rsid w:val="7AB0596B"/>
    <w:rsid w:val="7AFB1A3F"/>
    <w:rsid w:val="7B0914F7"/>
    <w:rsid w:val="7B3D1E83"/>
    <w:rsid w:val="7BC2430B"/>
    <w:rsid w:val="7BF137BA"/>
    <w:rsid w:val="7C1102ED"/>
    <w:rsid w:val="7C4B2553"/>
    <w:rsid w:val="7CA23153"/>
    <w:rsid w:val="7CDF0622"/>
    <w:rsid w:val="7D313E4E"/>
    <w:rsid w:val="7D3717EE"/>
    <w:rsid w:val="7D4626E5"/>
    <w:rsid w:val="7D4E3432"/>
    <w:rsid w:val="7D5907B2"/>
    <w:rsid w:val="7DA83819"/>
    <w:rsid w:val="7E2F7976"/>
    <w:rsid w:val="7E7F44AE"/>
    <w:rsid w:val="7ECC4309"/>
    <w:rsid w:val="7FEC08CA"/>
    <w:rsid w:val="7FF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jc w:val="center"/>
      <w:outlineLvl w:val="0"/>
    </w:pPr>
    <w:rPr>
      <w:rFonts w:ascii="楷体_GB2312" w:hAnsi="Times New Roman" w:eastAsia="楷体_GB2312"/>
      <w:b/>
      <w:sz w:val="28"/>
      <w:szCs w:val="20"/>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te Heading"/>
    <w:basedOn w:val="1"/>
    <w:next w:val="1"/>
    <w:qFormat/>
    <w:uiPriority w:val="0"/>
    <w:pPr>
      <w:spacing w:line="360" w:lineRule="auto"/>
      <w:ind w:firstLine="480"/>
      <w:jc w:val="center"/>
    </w:pPr>
    <w:rPr>
      <w:rFonts w:ascii="Times New Roman" w:hAnsi="Times New Roman" w:eastAsia="宋体"/>
      <w:szCs w:val="24"/>
      <w:lang w:val="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TML Typewriter"/>
    <w:qFormat/>
    <w:uiPriority w:val="0"/>
    <w:rPr>
      <w:rFonts w:ascii="宋体" w:hAnsi="宋体" w:eastAsia="宋体" w:cs="宋体"/>
      <w:sz w:val="24"/>
      <w:szCs w:val="24"/>
    </w:rPr>
  </w:style>
  <w:style w:type="character" w:styleId="10">
    <w:name w:val="Hyperlink"/>
    <w:unhideWhenUsed/>
    <w:qFormat/>
    <w:uiPriority w:val="99"/>
    <w:rPr>
      <w:color w:val="0000FF"/>
      <w:u w:val="single"/>
    </w:rPr>
  </w:style>
  <w:style w:type="paragraph" w:customStyle="1" w:styleId="11">
    <w:name w:val="普通文字"/>
    <w:basedOn w:val="1"/>
    <w:next w:val="1"/>
    <w:qFormat/>
    <w:uiPriority w:val="0"/>
    <w:rPr>
      <w:rFonts w:ascii="宋体" w:hAnsi="Times New Roman" w:eastAsia="宋体"/>
      <w:kern w:val="0"/>
      <w:sz w:val="24"/>
      <w:szCs w:val="20"/>
      <w:u w:color="00000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18759</Words>
  <Characters>19431</Characters>
  <Lines>150</Lines>
  <Paragraphs>42</Paragraphs>
  <TotalTime>4</TotalTime>
  <ScaleCrop>false</ScaleCrop>
  <LinksUpToDate>false</LinksUpToDate>
  <CharactersWithSpaces>20059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2022-04-02T07:14:00Z</dcterms:created>
  <dc:creator>永乐</dc:creator>
  <cp:lastModifiedBy>梁鑫晨</cp:lastModifiedBy>
  <cp:lastPrinted>2022-04-06T02:04:51Z</cp:lastPrinted>
  <dcterms:modified xsi:type="dcterms:W3CDTF">2022-04-06T02:17:09Z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KSOSaveFontToCloudKey">
    <vt:lpwstr>425223680_cloud</vt:lpwstr>
  </property>
  <property fmtid="{D5CDD505-2E9C-101B-9397-08002B2CF9AE}" pid="4" name="ICV">
    <vt:lpwstr>AB31D31F0467460389EBC1E77189B977</vt:lpwstr>
  </property>
</Properties>
</file>