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hint="eastAsia"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采购项目编号：TZZFBJC202300</w:t>
      </w:r>
      <w:r>
        <w:rPr>
          <w:rFonts w:hint="eastAsia" w:ascii="黑体" w:hAnsi="黑体" w:eastAsia="黑体" w:cs="黑体"/>
          <w:bCs/>
          <w:color w:val="000000" w:themeColor="text1"/>
          <w:sz w:val="30"/>
          <w:szCs w:val="30"/>
          <w:lang w:val="en-US" w:eastAsia="zh-CN"/>
          <w14:textFill>
            <w14:solidFill>
              <w14:schemeClr w14:val="tx1"/>
            </w14:solidFill>
          </w14:textFill>
        </w:rPr>
        <w:t>6</w:t>
      </w:r>
    </w:p>
    <w:p>
      <w:pPr>
        <w:ind w:left="1470" w:leftChars="700"/>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采购项目名称：泰州市政务服务一体化支撑平台</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（统一电子印章系统）运维服务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二〇二三年</w:t>
      </w:r>
      <w:r>
        <w:rPr>
          <w:rFonts w:hint="eastAsia" w:ascii="黑体" w:hAnsi="黑体" w:eastAsia="黑体" w:cs="黑体"/>
          <w:color w:val="000000" w:themeColor="text1"/>
          <w:sz w:val="30"/>
          <w:szCs w:val="30"/>
          <w:lang w:val="en-US" w:eastAsia="zh-CN"/>
          <w14:textFill>
            <w14:solidFill>
              <w14:schemeClr w14:val="tx1"/>
            </w14:solidFill>
          </w14:textFill>
        </w:rPr>
        <w:t>七</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我单位对泰州市政务服务一体化支撑平台（统一电子印章系统）运维服务项目进行竞争性磋商采购，欢迎符合相关条件的供应商参加磋商并提请注意下列相关事项：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1.项目名称：泰州市政务服务一体化支撑平台（统一电子印章系统）运维服务</w:t>
      </w:r>
    </w:p>
    <w:p>
      <w:pPr>
        <w:ind w:firstLine="560" w:firstLineChars="200"/>
        <w:rPr>
          <w:rFonts w:hint="eastAsia"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color w:val="000000" w:themeColor="text1"/>
          <w:sz w:val="30"/>
          <w:szCs w:val="30"/>
          <w14:textFill>
            <w14:solidFill>
              <w14:schemeClr w14:val="tx1"/>
            </w14:solidFill>
          </w14:textFill>
        </w:rPr>
        <w:t>TZZFBJC202300</w:t>
      </w:r>
      <w:r>
        <w:rPr>
          <w:rFonts w:hint="eastAsia" w:ascii="黑体" w:hAnsi="黑体" w:eastAsia="黑体" w:cs="黑体"/>
          <w:bCs/>
          <w:color w:val="000000" w:themeColor="text1"/>
          <w:sz w:val="30"/>
          <w:szCs w:val="30"/>
          <w:lang w:val="en-US" w:eastAsia="zh-CN"/>
          <w14:textFill>
            <w14:solidFill>
              <w14:schemeClr w14:val="tx1"/>
            </w14:solidFill>
          </w14:textFill>
        </w:rPr>
        <w:t>6</w:t>
      </w:r>
    </w:p>
    <w:p>
      <w:pPr>
        <w:ind w:firstLine="600" w:firstLineChars="2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3.项目预算：2</w:t>
      </w:r>
      <w:r>
        <w:rPr>
          <w:rFonts w:hint="eastAsia" w:ascii="黑体" w:hAnsi="黑体" w:eastAsia="黑体" w:cs="黑体"/>
          <w:bCs/>
          <w:color w:val="000000" w:themeColor="text1"/>
          <w:sz w:val="30"/>
          <w:szCs w:val="30"/>
          <w:lang w:val="en-US" w:eastAsia="zh-CN"/>
          <w14:textFill>
            <w14:solidFill>
              <w14:schemeClr w14:val="tx1"/>
            </w14:solidFill>
          </w14:textFill>
        </w:rPr>
        <w:t>0</w:t>
      </w:r>
      <w:r>
        <w:rPr>
          <w:rFonts w:hint="eastAsia" w:ascii="黑体" w:hAnsi="黑体" w:eastAsia="黑体" w:cs="黑体"/>
          <w:bCs/>
          <w:color w:val="000000" w:themeColor="text1"/>
          <w:sz w:val="30"/>
          <w:szCs w:val="30"/>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磋商文件接收开始时间：2023年7月</w:t>
      </w:r>
      <w:r>
        <w:rPr>
          <w:rFonts w:hint="eastAsia" w:ascii="黑体" w:hAnsi="黑体" w:eastAsia="黑体" w:cs="黑体"/>
          <w:color w:val="000000" w:themeColor="text1"/>
          <w:sz w:val="28"/>
          <w:szCs w:val="28"/>
          <w:lang w:val="en-US" w:eastAsia="zh-CN"/>
          <w14:textFill>
            <w14:solidFill>
              <w14:schemeClr w14:val="tx1"/>
            </w14:solidFill>
          </w14:textFill>
        </w:rPr>
        <w:t>25</w:t>
      </w:r>
      <w:r>
        <w:rPr>
          <w:rFonts w:hint="eastAsia" w:ascii="黑体" w:hAnsi="黑体" w:eastAsia="黑体" w:cs="黑体"/>
          <w:color w:val="000000" w:themeColor="text1"/>
          <w:sz w:val="28"/>
          <w:szCs w:val="28"/>
          <w14:textFill>
            <w14:solidFill>
              <w14:schemeClr w14:val="tx1"/>
            </w14:solidFill>
          </w14:textFill>
        </w:rPr>
        <w:t>日 14:30</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磋商文件接收截止时间：2023年7月</w:t>
      </w:r>
      <w:r>
        <w:rPr>
          <w:rFonts w:hint="eastAsia" w:ascii="黑体" w:hAnsi="黑体" w:eastAsia="黑体" w:cs="黑体"/>
          <w:color w:val="000000" w:themeColor="text1"/>
          <w:sz w:val="28"/>
          <w:szCs w:val="28"/>
          <w:lang w:val="en-US" w:eastAsia="zh-CN"/>
          <w14:textFill>
            <w14:solidFill>
              <w14:schemeClr w14:val="tx1"/>
            </w14:solidFill>
          </w14:textFill>
        </w:rPr>
        <w:t>25</w:t>
      </w:r>
      <w:r>
        <w:rPr>
          <w:rFonts w:hint="eastAsia" w:ascii="黑体" w:hAnsi="黑体" w:eastAsia="黑体" w:cs="黑体"/>
          <w:color w:val="000000" w:themeColor="text1"/>
          <w:sz w:val="28"/>
          <w:szCs w:val="28"/>
          <w14:textFill>
            <w14:solidFill>
              <w14:schemeClr w14:val="tx1"/>
            </w14:solidFill>
          </w14:textFill>
        </w:rPr>
        <w:t>日 15:00，磋商截止时间后的磋商文件恕不接受</w:t>
      </w:r>
    </w:p>
    <w:p>
      <w:pPr>
        <w:ind w:firstLine="560" w:firstLineChars="200"/>
        <w:rPr>
          <w:rFonts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磋商文件接收地点：泰州市机关大院（泰州市海陵区凤凰东路58号）主楼二楼中间会议室。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采购联系人：梁先生 电话：0523-86839100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fldChar w:fldCharType="begin"/>
      </w:r>
      <w:r>
        <w:instrText xml:space="preserve"> HYPERLINK "http://download.ccgp.gov.cn/2018/zhiyihanfanben.zip" \t "_blank" </w:instrText>
      </w:r>
      <w: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四．合同书"/>
      <w:bookmarkEnd w:id="6"/>
      <w:bookmarkStart w:id="7" w:name="三．项目技术配置和有关说明"/>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（一）详尽的技术及服务要求</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一、项目背景</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泰州市政务服务一体化支撑平台（统一电子印章系统）项目于2020年04月20日进行公开招投标，同年</w:t>
      </w:r>
      <w:r>
        <w:rPr>
          <w:rFonts w:ascii="宋体" w:hAnsi="宋体" w:eastAsia="宋体" w:cs="宋体"/>
          <w:sz w:val="28"/>
          <w:szCs w:val="28"/>
        </w:rPr>
        <w:t>6</w:t>
      </w:r>
      <w:r>
        <w:rPr>
          <w:rFonts w:hint="eastAsia" w:ascii="宋体" w:hAnsi="宋体" w:eastAsia="宋体" w:cs="宋体"/>
          <w:sz w:val="28"/>
          <w:szCs w:val="28"/>
        </w:rPr>
        <w:t>月份建设完成，经过一个月良好的试运行后于同年8月份完成验收。该项目是为了进一步落实省政府政务办关于“一网通办”“不见面审批”“长三角区域互联互通”的工作要求，依据《国务院关于加快推进全国一体化在线政务服务平台建设的指导意见》（国发〔2018〕27号）、根据《省政府关于加快推进一体化在线政务服务平台建设的实施意见》（苏政发〔2019〕20号）、《江苏省一体化在线政务服务平台统一电子印章系统建设指南（试行）》等文件要求建设。该项目完成了泰州市统一电子印章系统建设，制定了泰州市电子印章系统管理规范，规范全市电子印章应用系统建设、接入、使用。系统既符合国家相关标准规范，和省平台备案互通，又支持省平台制发的电子印章，满足政务服务领域电子印章跨地区跨部门互认互信需要，并与一体化政务平台对接，提供电子印章服务。</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系统总体架构如下：</w:t>
      </w:r>
    </w:p>
    <w:p>
      <w:pPr>
        <w:ind w:right="480"/>
        <w:rPr>
          <w:rFonts w:ascii="仿宋" w:hAnsi="仿宋" w:eastAsia="仿宋"/>
          <w:sz w:val="28"/>
          <w:szCs w:val="28"/>
        </w:rPr>
      </w:pPr>
      <w:r>
        <w:rPr>
          <w:rFonts w:ascii="仿宋" w:hAnsi="仿宋" w:eastAsia="仿宋"/>
          <w:sz w:val="28"/>
          <w:szCs w:val="28"/>
        </w:rPr>
        <w:drawing>
          <wp:inline distT="0" distB="0" distL="0" distR="0">
            <wp:extent cx="5504815" cy="2202815"/>
            <wp:effectExtent l="0" t="0" r="63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504815" cy="2202815"/>
                    </a:xfrm>
                    <a:prstGeom prst="rect">
                      <a:avLst/>
                    </a:prstGeom>
                    <a:noFill/>
                  </pic:spPr>
                </pic:pic>
              </a:graphicData>
            </a:graphic>
          </wp:inline>
        </w:drawing>
      </w:r>
    </w:p>
    <w:p>
      <w:pPr>
        <w:pStyle w:val="4"/>
        <w:ind w:right="480"/>
        <w:rPr>
          <w:rFonts w:ascii="仿宋" w:hAnsi="仿宋" w:eastAsia="仿宋"/>
          <w:sz w:val="28"/>
          <w:szCs w:val="28"/>
        </w:rPr>
      </w:pPr>
      <w:r>
        <w:rPr>
          <w:rFonts w:hint="eastAsia" w:ascii="仿宋" w:hAnsi="仿宋" w:eastAsia="仿宋"/>
          <w:sz w:val="28"/>
          <w:szCs w:val="28"/>
        </w:rPr>
        <w:t>电子印章系统总体网络拓扑架构</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截至目前，完成了泰州市约3</w:t>
      </w:r>
      <w:r>
        <w:rPr>
          <w:rFonts w:ascii="宋体" w:hAnsi="宋体" w:eastAsia="宋体" w:cs="宋体"/>
          <w:sz w:val="28"/>
          <w:szCs w:val="28"/>
        </w:rPr>
        <w:t>500</w:t>
      </w:r>
      <w:r>
        <w:rPr>
          <w:rFonts w:hint="eastAsia" w:ascii="宋体" w:hAnsi="宋体" w:eastAsia="宋体" w:cs="宋体"/>
          <w:sz w:val="28"/>
          <w:szCs w:val="28"/>
        </w:rPr>
        <w:t>枚电子印章的制作发放，完成了与多家市级政务部门的业务系统对接。不过，还未完成全市所有电子印章的制作，仍然需要继续制作发布电子印章，仍需继续和其他政务部门应用系统完成电子印章对接调试工作。仍需不停扩大电子印章的覆盖范围，在电子印章应用层面继续推广，继续提供制章、管章、用章的服务，有效支撑政务部门电子印章使用。并且，电子印章系统在使用过程中，也发现系统还存在待优化完善的地方。为此，提出了相关维护需求。2</w:t>
      </w:r>
      <w:r>
        <w:rPr>
          <w:rFonts w:ascii="宋体" w:hAnsi="宋体" w:eastAsia="宋体" w:cs="宋体"/>
          <w:sz w:val="28"/>
          <w:szCs w:val="28"/>
        </w:rPr>
        <w:t>023</w:t>
      </w:r>
      <w:r>
        <w:rPr>
          <w:rFonts w:hint="eastAsia" w:ascii="宋体" w:hAnsi="宋体" w:eastAsia="宋体" w:cs="宋体"/>
          <w:sz w:val="28"/>
          <w:szCs w:val="28"/>
        </w:rPr>
        <w:t>年8月份系统免费运维服务到期。本项目用于采购实现该项目的系统运维和驻场服务，实现电子印章系统高效稳定运行，最大限度满足泰州市各级部门电子印章应用需求。</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二、服务内容</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制定完善的电子印章系统运维方案及故障处理预案，保证运维项目的顺利实施，并按周期提交运维报告；运维服务包括密码硬件设备系统维护、电子印章相关业务运维工作、后台服务检测、系统功能验证、系统安全防护、电子印章维护；系统对接包括市各级部门的业务系统对接和省平台的对接；提供应急响应服务，保障系统稳定运行。</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三、运维对象</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电子印章系统硬件设备包括配置部署</w:t>
      </w:r>
      <w:r>
        <w:rPr>
          <w:rFonts w:ascii="宋体" w:hAnsi="宋体" w:eastAsia="宋体" w:cs="宋体"/>
          <w:sz w:val="28"/>
          <w:szCs w:val="28"/>
        </w:rPr>
        <w:t>UKEY、服务器密码机、签名验签服务器、时间戳服务器，软件包括电子印章制作系统、电子印章状态发布系统、电子印章应用系统、互联网电子印章验证系统、电子印章日志系统、电子印章数字证书系统。</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四、运维服务要求</w:t>
      </w:r>
    </w:p>
    <w:p>
      <w:pPr>
        <w:spacing w:line="520" w:lineRule="exact"/>
        <w:ind w:firstLine="562" w:firstLineChars="200"/>
        <w:rPr>
          <w:rFonts w:ascii="宋体" w:hAnsi="宋体" w:eastAsia="宋体" w:cs="宋体"/>
          <w:b/>
          <w:bCs/>
          <w:sz w:val="28"/>
          <w:szCs w:val="28"/>
        </w:rPr>
      </w:pPr>
      <w:r>
        <w:rPr>
          <w:rFonts w:ascii="宋体" w:hAnsi="宋体" w:eastAsia="宋体" w:cs="宋体"/>
          <w:b/>
          <w:bCs/>
          <w:sz w:val="28"/>
          <w:szCs w:val="28"/>
        </w:rPr>
        <w:t>1、运维方案制定</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制定完善的电子印章系统运维方案及故障处理预案，保证运维项目的顺利实施，并按周期提交运维报告。</w:t>
      </w:r>
    </w:p>
    <w:p>
      <w:pPr>
        <w:spacing w:line="520" w:lineRule="exact"/>
        <w:ind w:firstLine="562" w:firstLineChars="200"/>
        <w:rPr>
          <w:rFonts w:ascii="宋体" w:hAnsi="宋体" w:eastAsia="宋体" w:cs="宋体"/>
          <w:b/>
          <w:bCs/>
          <w:sz w:val="28"/>
          <w:szCs w:val="28"/>
        </w:rPr>
      </w:pPr>
      <w:r>
        <w:rPr>
          <w:rFonts w:ascii="宋体" w:hAnsi="宋体" w:eastAsia="宋体" w:cs="宋体"/>
          <w:b/>
          <w:bCs/>
          <w:sz w:val="28"/>
          <w:szCs w:val="28"/>
        </w:rPr>
        <w:t>2、日常运维</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日常运维服务包括密码硬件设备系统维护、电子印章相关业务运维工作、后台服务检测、系统功能验证、系统安全防护、电子印章维护。</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（1）</w:t>
      </w:r>
      <w:r>
        <w:rPr>
          <w:rFonts w:ascii="宋体" w:hAnsi="宋体" w:eastAsia="宋体" w:cs="宋体"/>
          <w:b/>
          <w:bCs/>
          <w:sz w:val="28"/>
          <w:szCs w:val="28"/>
        </w:rPr>
        <w:t>密码硬件设备维护</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密码硬件设备为电子印章系统提供密钥生成存储、密码运算、证书验证等密码基础服务，运维人员要对密码硬件设备进行维护，保证电子印章系统密码基础服务的正常。</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2</w:t>
      </w:r>
      <w:r>
        <w:rPr>
          <w:rFonts w:hint="eastAsia" w:ascii="宋体" w:hAnsi="宋体" w:eastAsia="宋体" w:cs="宋体"/>
          <w:b/>
          <w:bCs/>
          <w:sz w:val="28"/>
          <w:szCs w:val="28"/>
        </w:rPr>
        <w:t>）</w:t>
      </w:r>
      <w:r>
        <w:rPr>
          <w:rFonts w:ascii="宋体" w:hAnsi="宋体" w:eastAsia="宋体" w:cs="宋体"/>
          <w:b/>
          <w:bCs/>
          <w:sz w:val="28"/>
          <w:szCs w:val="28"/>
        </w:rPr>
        <w:t>电子印章相关业务运维</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电子印章相关业务运维工作包括但不限于以下工作：</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a.</w:t>
      </w:r>
      <w:r>
        <w:rPr>
          <w:rFonts w:ascii="宋体" w:hAnsi="宋体" w:eastAsia="宋体" w:cs="宋体"/>
          <w:sz w:val="28"/>
          <w:szCs w:val="28"/>
        </w:rPr>
        <w:t>电子印章系统运维：建立系统运维制度，定期巡检；及时处理系统故障。</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b</w:t>
      </w:r>
      <w:r>
        <w:rPr>
          <w:rFonts w:ascii="宋体" w:hAnsi="宋体" w:eastAsia="宋体" w:cs="宋体"/>
          <w:sz w:val="28"/>
          <w:szCs w:val="28"/>
        </w:rPr>
        <w:t>.业务管理服务：电子印章相关数据备份恢复、业务运行状态监控等方面业务管理工作。</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c.需求分析服务：定期梳理电子印章用户的实际应用需求，形成需求文档。</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d.咨询服务：提供日常咨询服务，解答用户关于电子印章使用的相关问题。</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e.培训服务：根据需求，对新使用电子印章的单位进行培训，对升级增加的功能开展培训服务。</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f.查询统计服务：根据业务需求和用户需要，提供电子印章系统日志信息、电子印章制作、授权信息等查询服务；根据业务需求和用户需要，提供电子印章各类数据统计服务。</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g.建立并维护项目知识库：在日常运维中，收集并整理常见问题及其解决方法，建立并维护项目知识库。</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3</w:t>
      </w:r>
      <w:r>
        <w:rPr>
          <w:rFonts w:hint="eastAsia" w:ascii="宋体" w:hAnsi="宋体" w:eastAsia="宋体" w:cs="宋体"/>
          <w:b/>
          <w:bCs/>
          <w:sz w:val="28"/>
          <w:szCs w:val="28"/>
        </w:rPr>
        <w:t>）</w:t>
      </w:r>
      <w:r>
        <w:rPr>
          <w:rFonts w:ascii="宋体" w:hAnsi="宋体" w:eastAsia="宋体" w:cs="宋体"/>
          <w:b/>
          <w:bCs/>
          <w:sz w:val="28"/>
          <w:szCs w:val="28"/>
        </w:rPr>
        <w:t>服务检测</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服务检测是电子印章系统自身的基础服务及对外服务接口的健康检测，包括但不限于数据库服务、</w:t>
      </w:r>
      <w:r>
        <w:rPr>
          <w:rFonts w:ascii="宋体" w:hAnsi="宋体" w:eastAsia="宋体" w:cs="宋体"/>
          <w:sz w:val="28"/>
          <w:szCs w:val="28"/>
        </w:rPr>
        <w:t>Nginx服务、Redis服务等基础服务，印章状态查询、签章验章应用服务等对外服务接口检测。</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4</w:t>
      </w:r>
      <w:r>
        <w:rPr>
          <w:rFonts w:hint="eastAsia" w:ascii="宋体" w:hAnsi="宋体" w:eastAsia="宋体" w:cs="宋体"/>
          <w:b/>
          <w:bCs/>
          <w:sz w:val="28"/>
          <w:szCs w:val="28"/>
        </w:rPr>
        <w:t>）</w:t>
      </w:r>
      <w:r>
        <w:rPr>
          <w:rFonts w:ascii="宋体" w:hAnsi="宋体" w:eastAsia="宋体" w:cs="宋体"/>
          <w:b/>
          <w:bCs/>
          <w:sz w:val="28"/>
          <w:szCs w:val="28"/>
        </w:rPr>
        <w:t>系统功能验证</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a.电子印章制作系统功能验证：包括但不限于系统登录、制作申请、印章制作、印章变更、印章挂失、印章撤销功能验证。</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b.电子印章状态发布系统功能验证：包括但不限于印章状态信息查询、印章变更管理、接口开放服务。</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c.电子印章应用系统功能验证：包括但不限于印章管理、用章授权、签章管理、验章管理功能。</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d.电子印章日志系统功能验证：包括但不限于日志查询、系统对接等功能。</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e.互联网电子印章验证系统功能验证：包括但不限于文件上传、文件验证等。</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f.电子印章数字证书管理系统验证：包括但不限于数字证书申请、省平台对接等。</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5</w:t>
      </w:r>
      <w:r>
        <w:rPr>
          <w:rFonts w:hint="eastAsia" w:ascii="宋体" w:hAnsi="宋体" w:eastAsia="宋体" w:cs="宋体"/>
          <w:b/>
          <w:bCs/>
          <w:sz w:val="28"/>
          <w:szCs w:val="28"/>
        </w:rPr>
        <w:t>）</w:t>
      </w:r>
      <w:r>
        <w:rPr>
          <w:rFonts w:ascii="宋体" w:hAnsi="宋体" w:eastAsia="宋体" w:cs="宋体"/>
          <w:b/>
          <w:bCs/>
          <w:sz w:val="28"/>
          <w:szCs w:val="28"/>
        </w:rPr>
        <w:t>系统安全防护</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网络信息安全是电子印章系统正常运行的保障，运维单位应对系统进行安全防护，定期进行安全检查。</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（6）</w:t>
      </w:r>
      <w:r>
        <w:rPr>
          <w:rFonts w:ascii="宋体" w:hAnsi="宋体" w:eastAsia="宋体" w:cs="宋体"/>
          <w:b/>
          <w:bCs/>
          <w:sz w:val="28"/>
          <w:szCs w:val="28"/>
        </w:rPr>
        <w:t>电子印章维护</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系统目前已有集中式印章约</w:t>
      </w:r>
      <w:r>
        <w:rPr>
          <w:rFonts w:ascii="宋体" w:hAnsi="宋体" w:eastAsia="宋体" w:cs="宋体"/>
          <w:sz w:val="28"/>
          <w:szCs w:val="28"/>
        </w:rPr>
        <w:t>3480枚，分散式印章约175枚。电子印章维护工作主要包括存量印章的使用、续期等日常维护，新增印章的UKey设备采购、电子印章及CA证书的制作、发放、调试运维工作。</w:t>
      </w:r>
    </w:p>
    <w:p>
      <w:pPr>
        <w:spacing w:line="520" w:lineRule="exact"/>
        <w:ind w:firstLine="562" w:firstLineChars="200"/>
        <w:rPr>
          <w:rFonts w:ascii="宋体" w:hAnsi="宋体" w:eastAsia="宋体" w:cs="宋体"/>
          <w:b/>
          <w:bCs/>
          <w:sz w:val="28"/>
          <w:szCs w:val="28"/>
        </w:rPr>
      </w:pPr>
      <w:r>
        <w:rPr>
          <w:rFonts w:ascii="宋体" w:hAnsi="宋体" w:eastAsia="宋体" w:cs="宋体"/>
          <w:b/>
          <w:bCs/>
          <w:sz w:val="28"/>
          <w:szCs w:val="28"/>
        </w:rPr>
        <w:t>3</w:t>
      </w:r>
      <w:r>
        <w:rPr>
          <w:rFonts w:hint="eastAsia" w:ascii="宋体" w:hAnsi="宋体" w:eastAsia="宋体" w:cs="宋体"/>
          <w:b/>
          <w:bCs/>
          <w:sz w:val="28"/>
          <w:szCs w:val="28"/>
        </w:rPr>
        <w:t>、</w:t>
      </w:r>
      <w:r>
        <w:rPr>
          <w:rFonts w:ascii="宋体" w:hAnsi="宋体" w:eastAsia="宋体" w:cs="宋体"/>
          <w:b/>
          <w:bCs/>
          <w:sz w:val="28"/>
          <w:szCs w:val="28"/>
        </w:rPr>
        <w:t>系统对接</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系统对接包括市各级部门的业务系统对接和省平台的对接。根据工作需要提供系统对接服务，包括但不限于以下工作：</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（1）</w:t>
      </w:r>
      <w:r>
        <w:rPr>
          <w:rFonts w:ascii="宋体" w:hAnsi="宋体" w:eastAsia="宋体" w:cs="宋体"/>
          <w:b/>
          <w:bCs/>
          <w:sz w:val="28"/>
          <w:szCs w:val="28"/>
        </w:rPr>
        <w:t>系统对接咨询</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提供系统对接咨询服务，解答用户关于系统对接流程、接口规范、对接具体工作等咨询问题；</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2</w:t>
      </w:r>
      <w:r>
        <w:rPr>
          <w:rFonts w:hint="eastAsia" w:ascii="宋体" w:hAnsi="宋体" w:eastAsia="宋体" w:cs="宋体"/>
          <w:b/>
          <w:bCs/>
          <w:sz w:val="28"/>
          <w:szCs w:val="28"/>
        </w:rPr>
        <w:t>）</w:t>
      </w:r>
      <w:r>
        <w:rPr>
          <w:rFonts w:ascii="宋体" w:hAnsi="宋体" w:eastAsia="宋体" w:cs="宋体"/>
          <w:b/>
          <w:bCs/>
          <w:sz w:val="28"/>
          <w:szCs w:val="28"/>
        </w:rPr>
        <w:t>电子印章授权配置</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新接入的业务系统需要在电子印章系统中配置其授权的电子印章信息；</w:t>
      </w:r>
    </w:p>
    <w:p>
      <w:pPr>
        <w:spacing w:line="520" w:lineRule="exact"/>
        <w:ind w:firstLine="562" w:firstLineChars="200"/>
        <w:rPr>
          <w:rFonts w:ascii="宋体" w:hAnsi="宋体" w:eastAsia="宋体" w:cs="宋体"/>
          <w:sz w:val="28"/>
          <w:szCs w:val="28"/>
        </w:rPr>
      </w:pPr>
      <w:r>
        <w:rPr>
          <w:rFonts w:hint="eastAsia" w:ascii="宋体" w:hAnsi="宋体" w:eastAsia="宋体" w:cs="宋体"/>
          <w:b/>
          <w:bCs/>
          <w:sz w:val="28"/>
          <w:szCs w:val="28"/>
        </w:rPr>
        <w:t>（</w:t>
      </w:r>
      <w:r>
        <w:rPr>
          <w:rFonts w:ascii="宋体" w:hAnsi="宋体" w:eastAsia="宋体" w:cs="宋体"/>
          <w:b/>
          <w:bCs/>
          <w:sz w:val="28"/>
          <w:szCs w:val="28"/>
        </w:rPr>
        <w:t>3</w:t>
      </w:r>
      <w:r>
        <w:rPr>
          <w:rFonts w:hint="eastAsia" w:ascii="宋体" w:hAnsi="宋体" w:eastAsia="宋体" w:cs="宋体"/>
          <w:b/>
          <w:bCs/>
          <w:sz w:val="28"/>
          <w:szCs w:val="28"/>
        </w:rPr>
        <w:t>）</w:t>
      </w:r>
      <w:r>
        <w:rPr>
          <w:rFonts w:ascii="宋体" w:hAnsi="宋体" w:eastAsia="宋体" w:cs="宋体"/>
          <w:b/>
          <w:bCs/>
          <w:sz w:val="28"/>
          <w:szCs w:val="28"/>
        </w:rPr>
        <w:t>接口对接</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电子印章系统与新接入业务系统进行接口对接，联调测试等集成工作；</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w:t>
      </w:r>
      <w:r>
        <w:rPr>
          <w:rFonts w:ascii="宋体" w:hAnsi="宋体" w:eastAsia="宋体" w:cs="宋体"/>
          <w:b/>
          <w:bCs/>
          <w:sz w:val="28"/>
          <w:szCs w:val="28"/>
        </w:rPr>
        <w:t>4</w:t>
      </w:r>
      <w:r>
        <w:rPr>
          <w:rFonts w:hint="eastAsia" w:ascii="宋体" w:hAnsi="宋体" w:eastAsia="宋体" w:cs="宋体"/>
          <w:b/>
          <w:bCs/>
          <w:sz w:val="28"/>
          <w:szCs w:val="28"/>
        </w:rPr>
        <w:t>）</w:t>
      </w:r>
      <w:r>
        <w:rPr>
          <w:rFonts w:ascii="宋体" w:hAnsi="宋体" w:eastAsia="宋体" w:cs="宋体"/>
          <w:b/>
          <w:bCs/>
          <w:sz w:val="28"/>
          <w:szCs w:val="28"/>
        </w:rPr>
        <w:t>对接省平台</w:t>
      </w:r>
    </w:p>
    <w:p>
      <w:pPr>
        <w:spacing w:line="520" w:lineRule="exact"/>
        <w:ind w:firstLine="560" w:firstLineChars="200"/>
        <w:rPr>
          <w:rFonts w:ascii="宋体" w:hAnsi="宋体" w:eastAsia="宋体" w:cs="宋体"/>
          <w:sz w:val="28"/>
          <w:szCs w:val="28"/>
        </w:rPr>
      </w:pPr>
      <w:r>
        <w:rPr>
          <w:rFonts w:ascii="宋体" w:hAnsi="宋体" w:eastAsia="宋体" w:cs="宋体"/>
          <w:sz w:val="28"/>
          <w:szCs w:val="28"/>
        </w:rPr>
        <w:t>根据省里的最新要求，做好与省平台的对接工作。</w:t>
      </w:r>
    </w:p>
    <w:p>
      <w:pPr>
        <w:spacing w:line="520" w:lineRule="exact"/>
        <w:ind w:firstLine="562" w:firstLineChars="200"/>
        <w:rPr>
          <w:rFonts w:ascii="宋体" w:hAnsi="宋体" w:eastAsia="宋体" w:cs="宋体"/>
          <w:b/>
          <w:bCs/>
          <w:sz w:val="28"/>
          <w:szCs w:val="28"/>
        </w:rPr>
      </w:pPr>
      <w:r>
        <w:rPr>
          <w:rFonts w:ascii="宋体" w:hAnsi="宋体" w:eastAsia="宋体" w:cs="宋体"/>
          <w:b/>
          <w:bCs/>
          <w:sz w:val="28"/>
          <w:szCs w:val="28"/>
        </w:rPr>
        <w:t>4</w:t>
      </w:r>
      <w:r>
        <w:rPr>
          <w:rFonts w:hint="eastAsia" w:ascii="宋体" w:hAnsi="宋体" w:eastAsia="宋体" w:cs="宋体"/>
          <w:b/>
          <w:bCs/>
          <w:sz w:val="28"/>
          <w:szCs w:val="28"/>
        </w:rPr>
        <w:t>、</w:t>
      </w:r>
      <w:r>
        <w:rPr>
          <w:rFonts w:ascii="宋体" w:hAnsi="宋体" w:eastAsia="宋体" w:cs="宋体"/>
          <w:b/>
          <w:bCs/>
          <w:sz w:val="28"/>
          <w:szCs w:val="28"/>
        </w:rPr>
        <w:t>应急响应服务</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提供应急响应服务，保障系统稳定运行。</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5、</w:t>
      </w:r>
      <w:r>
        <w:rPr>
          <w:rFonts w:ascii="宋体" w:hAnsi="宋体" w:eastAsia="宋体" w:cs="宋体"/>
          <w:b/>
          <w:bCs/>
          <w:sz w:val="28"/>
          <w:szCs w:val="28"/>
        </w:rPr>
        <w:t>项目人员要求</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为确保维护工作优质地进行，在维护协议期限内最终令用户</w:t>
      </w:r>
      <w:r>
        <w:rPr>
          <w:rFonts w:ascii="宋体" w:hAnsi="宋体" w:eastAsia="宋体" w:cs="宋体"/>
          <w:sz w:val="28"/>
          <w:szCs w:val="28"/>
        </w:rPr>
        <w:t>100％满意完成维护工作，运维单位应委派运维经验丰富的驻场人员和技术骨干组成维护项目小组，进行全方面系统维护，形成强有力的运维管理机构。</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运维单位提供</w:t>
      </w:r>
      <w:r>
        <w:rPr>
          <w:rFonts w:ascii="宋体" w:hAnsi="宋体" w:eastAsia="宋体" w:cs="宋体"/>
          <w:sz w:val="28"/>
          <w:szCs w:val="28"/>
        </w:rPr>
        <w:t>1名项目经理，统筹管理电子印章系统的维护工作。1名运维人员长驻在泰州市电子印章系统运维驻场点（或者服从采购方安排），提供7*24小时即时响应服务。</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同时，常驻人员根据电子印章系统运维需求和服务内容，做出专业技术分析后，可申请合理增加调配人员到运维驻场点支持运维工作（具体实施过程中，人员数量上将依据运维实际需求安排）。</w:t>
      </w:r>
    </w:p>
    <w:p>
      <w:pPr>
        <w:tabs>
          <w:tab w:val="left" w:pos="552"/>
        </w:tabs>
        <w:spacing w:line="520" w:lineRule="exact"/>
        <w:ind w:firstLine="562" w:firstLineChars="200"/>
        <w:rPr>
          <w:rFonts w:ascii="宋体" w:hAnsi="宋体" w:eastAsia="宋体" w:cs="宋体"/>
          <w:b/>
          <w:bCs/>
          <w:sz w:val="28"/>
          <w:szCs w:val="28"/>
        </w:rPr>
      </w:pPr>
      <w:bookmarkStart w:id="8" w:name="_Toc59288468"/>
      <w:r>
        <w:rPr>
          <w:rFonts w:hint="eastAsia" w:ascii="宋体" w:hAnsi="宋体" w:eastAsia="宋体" w:cs="宋体"/>
          <w:b/>
          <w:bCs/>
          <w:sz w:val="28"/>
          <w:szCs w:val="28"/>
        </w:rPr>
        <w:t>6、故障级别定义与响应要求</w:t>
      </w:r>
      <w:bookmarkEnd w:id="8"/>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服务期内，运维人员收到系统故障申告后，必须按要求及时解决。故障级别定义与响应要求如下表：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5"/>
        <w:gridCol w:w="1837"/>
        <w:gridCol w:w="198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355" w:type="dxa"/>
            <w:vAlign w:val="center"/>
          </w:tcPr>
          <w:p>
            <w:pPr>
              <w:spacing w:line="40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故障级别</w:t>
            </w:r>
          </w:p>
        </w:tc>
        <w:tc>
          <w:tcPr>
            <w:tcW w:w="1837" w:type="dxa"/>
            <w:vAlign w:val="center"/>
          </w:tcPr>
          <w:p>
            <w:pPr>
              <w:pStyle w:val="16"/>
              <w:spacing w:line="400" w:lineRule="exact"/>
              <w:ind w:firstLine="0" w:firstLineChars="0"/>
              <w:jc w:val="center"/>
              <w:rPr>
                <w:rFonts w:ascii="宋体" w:hAnsi="宋体" w:cs="宋体"/>
                <w:b/>
                <w:bCs/>
                <w:sz w:val="28"/>
                <w:szCs w:val="28"/>
              </w:rPr>
            </w:pPr>
            <w:r>
              <w:rPr>
                <w:rFonts w:hint="eastAsia" w:ascii="宋体" w:hAnsi="宋体" w:cs="宋体"/>
                <w:b/>
                <w:bCs/>
                <w:sz w:val="28"/>
                <w:szCs w:val="28"/>
              </w:rPr>
              <w:t>技术人员响应</w:t>
            </w:r>
            <w:r>
              <w:rPr>
                <w:rFonts w:ascii="宋体" w:hAnsi="宋体" w:cs="宋体"/>
                <w:b/>
                <w:bCs/>
                <w:sz w:val="28"/>
                <w:szCs w:val="28"/>
              </w:rPr>
              <w:t>时间</w:t>
            </w:r>
          </w:p>
        </w:tc>
        <w:tc>
          <w:tcPr>
            <w:tcW w:w="1985" w:type="dxa"/>
            <w:vAlign w:val="center"/>
          </w:tcPr>
          <w:p>
            <w:pPr>
              <w:pStyle w:val="16"/>
              <w:spacing w:line="400" w:lineRule="exact"/>
              <w:ind w:firstLine="0" w:firstLineChars="0"/>
              <w:jc w:val="center"/>
              <w:rPr>
                <w:rFonts w:ascii="宋体" w:hAnsi="宋体" w:cs="宋体"/>
                <w:b/>
                <w:bCs/>
                <w:sz w:val="28"/>
                <w:szCs w:val="28"/>
              </w:rPr>
            </w:pPr>
            <w:r>
              <w:rPr>
                <w:rFonts w:hint="eastAsia" w:ascii="宋体" w:hAnsi="宋体" w:cs="宋体"/>
                <w:b/>
                <w:bCs/>
                <w:sz w:val="28"/>
                <w:szCs w:val="28"/>
              </w:rPr>
              <w:t>提出解决方案</w:t>
            </w:r>
          </w:p>
        </w:tc>
        <w:tc>
          <w:tcPr>
            <w:tcW w:w="1701" w:type="dxa"/>
            <w:vAlign w:val="center"/>
          </w:tcPr>
          <w:p>
            <w:pPr>
              <w:pStyle w:val="16"/>
              <w:spacing w:line="400" w:lineRule="exact"/>
              <w:ind w:firstLine="0" w:firstLineChars="0"/>
              <w:jc w:val="center"/>
              <w:rPr>
                <w:rFonts w:ascii="仿宋" w:hAnsi="仿宋" w:eastAsia="仿宋" w:cs="仿宋_GB2312"/>
                <w:b/>
                <w:bCs/>
                <w:color w:val="000000"/>
                <w:sz w:val="28"/>
                <w:szCs w:val="28"/>
              </w:rPr>
            </w:pPr>
            <w:r>
              <w:rPr>
                <w:rFonts w:hint="eastAsia" w:ascii="仿宋" w:hAnsi="仿宋" w:eastAsia="仿宋" w:cs="仿宋_GB2312"/>
                <w:b/>
                <w:bCs/>
                <w:color w:val="000000"/>
                <w:sz w:val="28"/>
                <w:szCs w:val="28"/>
              </w:rPr>
              <w:t>解决时间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55"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I</w:t>
            </w:r>
            <w:r>
              <w:rPr>
                <w:rFonts w:hint="eastAsia" w:ascii="宋体" w:hAnsi="宋体" w:cs="宋体"/>
                <w:sz w:val="28"/>
                <w:szCs w:val="28"/>
              </w:rPr>
              <w:t>级：属于重特大故障：其具体现象为：系统全面瘫痪，</w:t>
            </w:r>
            <w:r>
              <w:rPr>
                <w:rFonts w:ascii="宋体" w:hAnsi="宋体" w:cs="宋体"/>
                <w:sz w:val="28"/>
                <w:szCs w:val="28"/>
              </w:rPr>
              <w:t>无法使用</w:t>
            </w:r>
            <w:r>
              <w:rPr>
                <w:rFonts w:hint="eastAsia" w:ascii="宋体" w:hAnsi="宋体" w:cs="宋体"/>
                <w:sz w:val="28"/>
                <w:szCs w:val="28"/>
              </w:rPr>
              <w:t>。</w:t>
            </w:r>
          </w:p>
        </w:tc>
        <w:tc>
          <w:tcPr>
            <w:tcW w:w="1837"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10</w:t>
            </w:r>
            <w:r>
              <w:rPr>
                <w:rFonts w:hint="eastAsia" w:ascii="宋体" w:hAnsi="宋体" w:cs="宋体"/>
                <w:sz w:val="28"/>
                <w:szCs w:val="28"/>
              </w:rPr>
              <w:t>分钟以内</w:t>
            </w:r>
          </w:p>
        </w:tc>
        <w:tc>
          <w:tcPr>
            <w:tcW w:w="1985" w:type="dxa"/>
            <w:vAlign w:val="center"/>
          </w:tcPr>
          <w:p>
            <w:pPr>
              <w:pStyle w:val="16"/>
              <w:spacing w:line="400" w:lineRule="exact"/>
              <w:ind w:firstLine="0" w:firstLineChars="0"/>
              <w:rPr>
                <w:rFonts w:ascii="宋体" w:hAnsi="宋体" w:cs="宋体"/>
                <w:sz w:val="28"/>
                <w:szCs w:val="28"/>
              </w:rPr>
            </w:pPr>
            <w:r>
              <w:rPr>
                <w:rFonts w:hint="eastAsia" w:ascii="宋体" w:hAnsi="宋体" w:cs="宋体"/>
                <w:sz w:val="28"/>
                <w:szCs w:val="28"/>
              </w:rPr>
              <w:t>了解情况后</w:t>
            </w:r>
            <w:r>
              <w:rPr>
                <w:rFonts w:ascii="宋体" w:hAnsi="宋体" w:cs="宋体"/>
                <w:sz w:val="28"/>
                <w:szCs w:val="28"/>
              </w:rPr>
              <w:t>30</w:t>
            </w:r>
            <w:r>
              <w:rPr>
                <w:rFonts w:hint="eastAsia" w:ascii="宋体" w:hAnsi="宋体" w:cs="宋体"/>
                <w:sz w:val="28"/>
                <w:szCs w:val="28"/>
              </w:rPr>
              <w:t>分钟内提交故障解决方案 </w:t>
            </w:r>
          </w:p>
        </w:tc>
        <w:tc>
          <w:tcPr>
            <w:tcW w:w="1701" w:type="dxa"/>
            <w:vAlign w:val="center"/>
          </w:tcPr>
          <w:p>
            <w:pPr>
              <w:pStyle w:val="16"/>
              <w:spacing w:line="400" w:lineRule="exact"/>
              <w:ind w:firstLine="0" w:firstLineChars="0"/>
              <w:rPr>
                <w:rFonts w:ascii="仿宋" w:hAnsi="仿宋" w:eastAsia="仿宋" w:cs="仿宋_GB2312"/>
                <w:color w:val="000000"/>
                <w:sz w:val="28"/>
                <w:szCs w:val="28"/>
              </w:rPr>
            </w:pPr>
            <w:r>
              <w:rPr>
                <w:rFonts w:hint="eastAsia" w:ascii="宋体" w:hAnsi="宋体" w:cs="宋体"/>
                <w:sz w:val="28"/>
                <w:szCs w:val="28"/>
              </w:rPr>
              <w:t>3小时以内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55"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II</w:t>
            </w:r>
            <w:r>
              <w:rPr>
                <w:rFonts w:hint="eastAsia" w:ascii="宋体" w:hAnsi="宋体" w:cs="宋体"/>
                <w:sz w:val="28"/>
                <w:szCs w:val="28"/>
              </w:rPr>
              <w:t>级：属于严重问题；其具体现象为：部分子系统发生故障或小面积瘫痪但不影响系统整体运行。</w:t>
            </w:r>
          </w:p>
        </w:tc>
        <w:tc>
          <w:tcPr>
            <w:tcW w:w="1837"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20</w:t>
            </w:r>
            <w:r>
              <w:rPr>
                <w:rFonts w:hint="eastAsia" w:ascii="宋体" w:hAnsi="宋体" w:cs="宋体"/>
                <w:sz w:val="28"/>
                <w:szCs w:val="28"/>
              </w:rPr>
              <w:t>分钟以内</w:t>
            </w:r>
          </w:p>
        </w:tc>
        <w:tc>
          <w:tcPr>
            <w:tcW w:w="1985" w:type="dxa"/>
            <w:vAlign w:val="center"/>
          </w:tcPr>
          <w:p>
            <w:pPr>
              <w:pStyle w:val="16"/>
              <w:spacing w:line="400" w:lineRule="exact"/>
              <w:ind w:firstLine="0" w:firstLineChars="0"/>
              <w:rPr>
                <w:rFonts w:ascii="宋体" w:hAnsi="宋体" w:cs="宋体"/>
                <w:sz w:val="28"/>
                <w:szCs w:val="28"/>
              </w:rPr>
            </w:pPr>
            <w:r>
              <w:rPr>
                <w:rFonts w:hint="eastAsia" w:ascii="宋体" w:hAnsi="宋体" w:cs="宋体"/>
                <w:sz w:val="28"/>
                <w:szCs w:val="28"/>
              </w:rPr>
              <w:t>了解情况后</w:t>
            </w:r>
            <w:r>
              <w:rPr>
                <w:rFonts w:ascii="宋体" w:hAnsi="宋体" w:cs="宋体"/>
                <w:sz w:val="28"/>
                <w:szCs w:val="28"/>
              </w:rPr>
              <w:t>1</w:t>
            </w:r>
            <w:r>
              <w:rPr>
                <w:rFonts w:hint="eastAsia" w:ascii="宋体" w:hAnsi="宋体" w:cs="宋体"/>
                <w:sz w:val="28"/>
                <w:szCs w:val="28"/>
              </w:rPr>
              <w:t>小时内提交故障解决方案 </w:t>
            </w:r>
          </w:p>
          <w:p>
            <w:pPr>
              <w:pStyle w:val="16"/>
              <w:spacing w:line="400" w:lineRule="exact"/>
              <w:ind w:firstLine="485"/>
              <w:rPr>
                <w:rFonts w:ascii="宋体" w:hAnsi="宋体" w:cs="宋体"/>
                <w:sz w:val="28"/>
                <w:szCs w:val="28"/>
              </w:rPr>
            </w:pPr>
          </w:p>
        </w:tc>
        <w:tc>
          <w:tcPr>
            <w:tcW w:w="1701" w:type="dxa"/>
            <w:vAlign w:val="center"/>
          </w:tcPr>
          <w:p>
            <w:pPr>
              <w:pStyle w:val="16"/>
              <w:spacing w:line="400" w:lineRule="exact"/>
              <w:ind w:firstLine="0" w:firstLineChars="0"/>
              <w:rPr>
                <w:rFonts w:hint="eastAsia" w:ascii="宋体" w:hAnsi="宋体" w:cs="宋体"/>
                <w:sz w:val="28"/>
                <w:szCs w:val="28"/>
              </w:rPr>
            </w:pPr>
            <w:r>
              <w:rPr>
                <w:rFonts w:hint="eastAsia" w:ascii="宋体" w:hAnsi="宋体" w:cs="宋体"/>
                <w:sz w:val="28"/>
                <w:szCs w:val="28"/>
              </w:rPr>
              <w:t>3小时以内</w:t>
            </w:r>
          </w:p>
          <w:p>
            <w:pPr>
              <w:pStyle w:val="16"/>
              <w:spacing w:line="400" w:lineRule="exact"/>
              <w:ind w:firstLine="485"/>
              <w:rPr>
                <w:rFonts w:ascii="仿宋" w:hAnsi="仿宋" w:eastAsia="仿宋"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55"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III</w:t>
            </w:r>
            <w:r>
              <w:rPr>
                <w:rFonts w:hint="eastAsia" w:ascii="宋体" w:hAnsi="宋体" w:cs="宋体"/>
                <w:sz w:val="28"/>
                <w:szCs w:val="28"/>
              </w:rPr>
              <w:t>级：属于较严重问题；其具体现象为：小部分功能故障或出现报错、告警或故障，但不影响系统整体运行。</w:t>
            </w:r>
          </w:p>
        </w:tc>
        <w:tc>
          <w:tcPr>
            <w:tcW w:w="1837" w:type="dxa"/>
            <w:vAlign w:val="center"/>
          </w:tcPr>
          <w:p>
            <w:pPr>
              <w:pStyle w:val="16"/>
              <w:spacing w:line="400" w:lineRule="exact"/>
              <w:ind w:firstLine="0" w:firstLineChars="0"/>
              <w:rPr>
                <w:rFonts w:ascii="宋体" w:hAnsi="宋体" w:cs="宋体"/>
                <w:sz w:val="28"/>
                <w:szCs w:val="28"/>
              </w:rPr>
            </w:pPr>
            <w:r>
              <w:rPr>
                <w:rFonts w:ascii="宋体" w:hAnsi="宋体" w:cs="宋体"/>
                <w:sz w:val="28"/>
                <w:szCs w:val="28"/>
              </w:rPr>
              <w:t>30</w:t>
            </w:r>
            <w:r>
              <w:rPr>
                <w:rFonts w:hint="eastAsia" w:ascii="宋体" w:hAnsi="宋体" w:cs="宋体"/>
                <w:sz w:val="28"/>
                <w:szCs w:val="28"/>
              </w:rPr>
              <w:t>分钟以内</w:t>
            </w:r>
          </w:p>
        </w:tc>
        <w:tc>
          <w:tcPr>
            <w:tcW w:w="1985" w:type="dxa"/>
            <w:vAlign w:val="center"/>
          </w:tcPr>
          <w:p>
            <w:pPr>
              <w:pStyle w:val="16"/>
              <w:spacing w:line="400" w:lineRule="exact"/>
              <w:ind w:firstLine="0" w:firstLineChars="0"/>
              <w:rPr>
                <w:rFonts w:ascii="宋体" w:hAnsi="宋体" w:cs="宋体"/>
                <w:sz w:val="28"/>
                <w:szCs w:val="28"/>
              </w:rPr>
            </w:pPr>
            <w:r>
              <w:rPr>
                <w:rFonts w:hint="eastAsia" w:ascii="宋体" w:hAnsi="宋体" w:cs="宋体"/>
                <w:sz w:val="28"/>
                <w:szCs w:val="28"/>
              </w:rPr>
              <w:t>了解情况后</w:t>
            </w:r>
            <w:r>
              <w:rPr>
                <w:rFonts w:ascii="宋体" w:hAnsi="宋体" w:cs="宋体"/>
                <w:sz w:val="28"/>
                <w:szCs w:val="28"/>
              </w:rPr>
              <w:t>1</w:t>
            </w:r>
            <w:r>
              <w:rPr>
                <w:rFonts w:hint="eastAsia" w:ascii="宋体" w:hAnsi="宋体" w:cs="宋体"/>
                <w:sz w:val="28"/>
                <w:szCs w:val="28"/>
              </w:rPr>
              <w:t>小时内提交故障解决方案 </w:t>
            </w:r>
          </w:p>
          <w:p>
            <w:pPr>
              <w:pStyle w:val="16"/>
              <w:spacing w:line="400" w:lineRule="exact"/>
              <w:ind w:firstLine="485"/>
              <w:rPr>
                <w:rFonts w:ascii="宋体" w:hAnsi="宋体" w:cs="宋体"/>
                <w:sz w:val="28"/>
                <w:szCs w:val="28"/>
              </w:rPr>
            </w:pPr>
          </w:p>
        </w:tc>
        <w:tc>
          <w:tcPr>
            <w:tcW w:w="1701" w:type="dxa"/>
            <w:vAlign w:val="center"/>
          </w:tcPr>
          <w:p>
            <w:pPr>
              <w:pStyle w:val="16"/>
              <w:spacing w:line="400" w:lineRule="exact"/>
              <w:ind w:firstLine="0" w:firstLineChars="0"/>
              <w:rPr>
                <w:rFonts w:hint="eastAsia" w:ascii="宋体" w:hAnsi="宋体" w:cs="宋体"/>
                <w:sz w:val="28"/>
                <w:szCs w:val="28"/>
              </w:rPr>
            </w:pPr>
            <w:r>
              <w:rPr>
                <w:rFonts w:hint="eastAsia" w:ascii="宋体" w:hAnsi="宋体" w:cs="宋体"/>
                <w:sz w:val="28"/>
                <w:szCs w:val="28"/>
              </w:rPr>
              <w:t>4小时以内</w:t>
            </w:r>
          </w:p>
          <w:p>
            <w:pPr>
              <w:pStyle w:val="16"/>
              <w:spacing w:line="400" w:lineRule="exact"/>
              <w:ind w:firstLine="485"/>
              <w:rPr>
                <w:rFonts w:ascii="仿宋" w:hAnsi="仿宋" w:eastAsia="仿宋" w:cs="仿宋_GB2312"/>
                <w:color w:val="000000"/>
                <w:sz w:val="28"/>
                <w:szCs w:val="28"/>
              </w:rPr>
            </w:pPr>
          </w:p>
        </w:tc>
      </w:tr>
    </w:tbl>
    <w:p>
      <w:pPr>
        <w:tabs>
          <w:tab w:val="left" w:pos="552"/>
        </w:tabs>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7、质量保障要求</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中标人需有标准的质量保障体系，并保障该体系有效正常运作。</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中标人需要建立本项目的质量保障体系并获得公司的资源支持。</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中标人不得缩小项目人员的组成或者其他资源，核心人员在项目结束前未经甲方允许，不得更换或者中途退出。</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（1）预防性维护内容</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主要包括系统运行管理维护及巡检。</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（2）</w:t>
      </w:r>
      <w:r>
        <w:rPr>
          <w:rFonts w:ascii="宋体" w:hAnsi="宋体" w:eastAsia="宋体" w:cs="宋体"/>
          <w:sz w:val="28"/>
          <w:szCs w:val="28"/>
        </w:rPr>
        <w:t xml:space="preserve">故障性维护内容 </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 xml:space="preserve">系统软故障的及时修复、故障检查、故障排除服务，以及系统通讯故障的修复。 </w:t>
      </w:r>
    </w:p>
    <w:p>
      <w:pPr>
        <w:spacing w:line="520" w:lineRule="exact"/>
        <w:ind w:firstLine="562" w:firstLineChars="200"/>
        <w:rPr>
          <w:rFonts w:ascii="宋体" w:hAnsi="宋体" w:eastAsia="宋体" w:cs="宋体"/>
          <w:b/>
          <w:bCs/>
          <w:sz w:val="28"/>
          <w:szCs w:val="28"/>
        </w:rPr>
      </w:pPr>
      <w:r>
        <w:rPr>
          <w:rFonts w:ascii="宋体" w:hAnsi="宋体" w:eastAsia="宋体" w:cs="宋体"/>
          <w:b/>
          <w:bCs/>
          <w:sz w:val="28"/>
          <w:szCs w:val="28"/>
        </w:rPr>
        <w:t>8</w:t>
      </w:r>
      <w:r>
        <w:rPr>
          <w:rFonts w:hint="eastAsia" w:ascii="宋体" w:hAnsi="宋体" w:eastAsia="宋体" w:cs="宋体"/>
          <w:b/>
          <w:bCs/>
          <w:sz w:val="28"/>
          <w:szCs w:val="28"/>
        </w:rPr>
        <w:t>、其他要求</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（1）资产权属</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中标人为实施项目而提供的所有资料及工作成果的所有权归采购人所有，未经采购人许可，中标人不得将相关采购人资料提供给第三方。</w:t>
      </w:r>
    </w:p>
    <w:p>
      <w:pPr>
        <w:spacing w:line="52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t>（2）保密要求</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投标人对其因身份、职务、职业或技术关系而知悉的采购人商业秘密和党政机关保密信息应严格保守，保证不被披露或使用，包括意外或过失。</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投标人不得以竞争为目的、或出于私利、或为第三人谋利而擅自保存、披露、使用采购人商业秘密和党政机关保密信息；不得直接或间接地向无关人员泄露采购人的商业秘密和党政机关保密信息；不得向不承担保密义务的任何第三人披露采购人的商业秘密和党政机关保密信息。投标人在从事政府项目时，不得擅自记录、复制、拍摄、摘抄、收藏在工作中涉及的保密信息，严禁将涉及政府项目的任何资料、数据透露或以其他方式提供给项目以外的其他方或投标人内部与该项目无关的任何人员。</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投标人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严禁泄露在工作中接触到的政府机关科技研究、发明、装备器材及其技术资料和政府工作信息。</w:t>
      </w:r>
    </w:p>
    <w:p>
      <w:pPr>
        <w:ind w:firstLine="560" w:firstLineChars="200"/>
        <w:outlineLvl w:val="1"/>
        <w:rPr>
          <w:rFonts w:hint="eastAsia" w:ascii="黑体" w:hAnsi="黑体" w:eastAsia="黑体" w:cs="宋体"/>
          <w:color w:val="000000" w:themeColor="text1"/>
          <w:kern w:val="0"/>
          <w:sz w:val="28"/>
          <w:szCs w:val="28"/>
          <w14:textFill>
            <w14:solidFill>
              <w14:schemeClr w14:val="tx1"/>
            </w14:solidFill>
          </w14:textFill>
        </w:rPr>
      </w:pPr>
    </w:p>
    <w:p>
      <w:pPr>
        <w:ind w:firstLine="560" w:firstLineChars="200"/>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（二）有关说明</w:t>
      </w:r>
      <w:r>
        <w:rPr>
          <w:rFonts w:ascii="黑体" w:hAnsi="黑体" w:eastAsia="黑体" w:cs="宋体"/>
          <w:color w:val="000000" w:themeColor="text1"/>
          <w:kern w:val="0"/>
          <w:sz w:val="28"/>
          <w:szCs w:val="28"/>
          <w14:textFill>
            <w14:solidFill>
              <w14:schemeClr w14:val="tx1"/>
            </w14:solidFill>
          </w14:textFill>
        </w:rPr>
        <w:t xml:space="preserve"> </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1、资金构成</w:t>
      </w:r>
    </w:p>
    <w:p>
      <w:pPr>
        <w:spacing w:line="520" w:lineRule="exact"/>
        <w:ind w:left="759" w:leftChars="228" w:hanging="280" w:hangingChars="100"/>
        <w:rPr>
          <w:rFonts w:ascii="宋体" w:hAnsi="宋体" w:eastAsia="宋体" w:cs="宋体"/>
          <w:sz w:val="28"/>
          <w:szCs w:val="28"/>
        </w:rPr>
      </w:pPr>
      <w:r>
        <w:rPr>
          <w:rFonts w:hint="eastAsia" w:ascii="宋体" w:hAnsi="宋体" w:eastAsia="宋体" w:cs="宋体"/>
          <w:sz w:val="28"/>
          <w:szCs w:val="28"/>
        </w:rPr>
        <w:t xml:space="preserve"> 本项目预算2</w:t>
      </w:r>
      <w:r>
        <w:rPr>
          <w:rFonts w:ascii="宋体" w:hAnsi="宋体" w:eastAsia="宋体" w:cs="宋体"/>
          <w:sz w:val="28"/>
          <w:szCs w:val="28"/>
        </w:rPr>
        <w:t>0</w:t>
      </w:r>
      <w:r>
        <w:rPr>
          <w:rFonts w:hint="eastAsia" w:ascii="宋体" w:hAnsi="宋体" w:eastAsia="宋体" w:cs="宋体"/>
          <w:sz w:val="28"/>
          <w:szCs w:val="28"/>
        </w:rPr>
        <w:t>万元，构成如下：</w:t>
      </w:r>
    </w:p>
    <w:tbl>
      <w:tblPr>
        <w:tblStyle w:val="9"/>
        <w:tblW w:w="8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268"/>
        <w:gridCol w:w="5577"/>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0" w:type="dxa"/>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8"/>
              <w:spacing w:line="400" w:lineRule="exact"/>
              <w:jc w:val="center"/>
              <w:rPr>
                <w:rFonts w:ascii="仿宋" w:hAnsi="仿宋" w:eastAsia="仿宋" w:cs="仿宋"/>
                <w:b/>
                <w:bCs/>
              </w:rPr>
            </w:pPr>
            <w:r>
              <w:rPr>
                <w:rFonts w:ascii="仿宋" w:hAnsi="仿宋" w:eastAsia="仿宋" w:cs="宋体"/>
                <w:b/>
                <w:bCs/>
              </w:rPr>
              <w:t>序号</w:t>
            </w:r>
          </w:p>
        </w:tc>
        <w:tc>
          <w:tcPr>
            <w:tcW w:w="126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40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采购名称</w:t>
            </w:r>
          </w:p>
        </w:tc>
        <w:tc>
          <w:tcPr>
            <w:tcW w:w="557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采购说明</w:t>
            </w:r>
          </w:p>
        </w:tc>
        <w:tc>
          <w:tcPr>
            <w:tcW w:w="944"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费用（万）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850" w:type="dxa"/>
            <w:tcBorders>
              <w:top w:val="single" w:color="auto" w:sz="4" w:space="0"/>
              <w:left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hint="eastAsia" w:ascii="仿宋" w:hAnsi="仿宋" w:eastAsia="仿宋" w:cs="宋体"/>
                <w:kern w:val="0"/>
                <w:sz w:val="24"/>
                <w:szCs w:val="24"/>
                <w:lang w:bidi="ar"/>
              </w:rPr>
              <w:t>1</w:t>
            </w:r>
          </w:p>
          <w:p>
            <w:pPr>
              <w:spacing w:line="520" w:lineRule="exact"/>
              <w:jc w:val="center"/>
              <w:rPr>
                <w:rFonts w:ascii="仿宋" w:hAnsi="仿宋" w:eastAsia="仿宋" w:cs="宋体"/>
                <w:kern w:val="0"/>
                <w:sz w:val="24"/>
                <w:szCs w:val="24"/>
              </w:rPr>
            </w:pPr>
          </w:p>
        </w:tc>
        <w:tc>
          <w:tcPr>
            <w:tcW w:w="1268" w:type="dxa"/>
            <w:tcBorders>
              <w:top w:val="single" w:color="auto" w:sz="4" w:space="0"/>
              <w:left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hint="eastAsia" w:ascii="仿宋" w:hAnsi="仿宋" w:eastAsia="仿宋" w:cs="宋体"/>
                <w:kern w:val="0"/>
                <w:sz w:val="24"/>
                <w:szCs w:val="24"/>
              </w:rPr>
              <w:t>驻场服务</w:t>
            </w:r>
          </w:p>
        </w:tc>
        <w:tc>
          <w:tcPr>
            <w:tcW w:w="557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按照要求提供1人1年驻场服务，工作内容包括但不限于：</w:t>
            </w:r>
          </w:p>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（1）提供全市部门印章使用上门指导工作、并不定时组织培训培训、出具培训资料等工作。</w:t>
            </w:r>
          </w:p>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（2）提供印章制作、维护、统计、使用月报等工作，根据现场实际需求及客户要求完成相关工作，支持各业务系统对接，协助客户出具体技术文档。</w:t>
            </w:r>
          </w:p>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（3）接受采购方安排的其他工作。</w:t>
            </w:r>
          </w:p>
        </w:tc>
        <w:tc>
          <w:tcPr>
            <w:tcW w:w="944" w:type="dxa"/>
            <w:tcBorders>
              <w:top w:val="single" w:color="auto" w:sz="4" w:space="0"/>
              <w:left w:val="single" w:color="auto" w:sz="4" w:space="0"/>
              <w:right w:val="single" w:color="auto" w:sz="4" w:space="0"/>
            </w:tcBorders>
            <w:vAlign w:val="center"/>
          </w:tcPr>
          <w:p>
            <w:pPr>
              <w:widowControl/>
              <w:spacing w:line="520" w:lineRule="exact"/>
              <w:jc w:val="center"/>
              <w:rPr>
                <w:rFonts w:ascii="仿宋" w:hAnsi="仿宋" w:eastAsia="仿宋" w:cs="宋体"/>
                <w:kern w:val="0"/>
                <w:sz w:val="24"/>
                <w:szCs w:val="24"/>
              </w:rPr>
            </w:pPr>
            <w:r>
              <w:rPr>
                <w:rFonts w:ascii="仿宋" w:hAnsi="仿宋" w:eastAsia="仿宋" w:cs="宋体"/>
                <w:kern w:val="0"/>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50" w:type="dxa"/>
            <w:tcBorders>
              <w:top w:val="single" w:color="auto" w:sz="4" w:space="0"/>
              <w:left w:val="single" w:color="auto" w:sz="4" w:space="0"/>
              <w:bottom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ascii="仿宋" w:hAnsi="仿宋" w:eastAsia="仿宋" w:cs="宋体"/>
                <w:kern w:val="0"/>
                <w:sz w:val="24"/>
                <w:szCs w:val="24"/>
              </w:rPr>
              <w:t>2</w:t>
            </w:r>
          </w:p>
        </w:tc>
        <w:tc>
          <w:tcPr>
            <w:tcW w:w="1268" w:type="dxa"/>
            <w:tcBorders>
              <w:top w:val="single" w:color="auto" w:sz="4" w:space="0"/>
              <w:left w:val="single" w:color="auto" w:sz="4" w:space="0"/>
              <w:bottom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hint="eastAsia" w:ascii="仿宋" w:hAnsi="仿宋" w:eastAsia="仿宋" w:cs="宋体"/>
                <w:kern w:val="0"/>
                <w:sz w:val="24"/>
                <w:szCs w:val="24"/>
              </w:rPr>
              <w:t>日常运维</w:t>
            </w:r>
          </w:p>
        </w:tc>
        <w:tc>
          <w:tcPr>
            <w:tcW w:w="557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（1）日常运维服务包括密码硬件设备系统维护、电子印章相关业务运维工作、后台服务检测、系统功能验证、系统安全防护、电子印章维护。</w:t>
            </w:r>
          </w:p>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（2）如省电子印章系统提出新的业务需求，须根据省级电子印章系统升级内容进行同步升级。</w:t>
            </w:r>
          </w:p>
          <w:p>
            <w:pPr>
              <w:widowControl/>
              <w:spacing w:line="400" w:lineRule="exact"/>
              <w:rPr>
                <w:rFonts w:ascii="仿宋" w:hAnsi="仿宋" w:eastAsia="仿宋" w:cs="宋体"/>
                <w:kern w:val="0"/>
                <w:sz w:val="24"/>
                <w:szCs w:val="24"/>
              </w:rPr>
            </w:pPr>
            <w:r>
              <w:rPr>
                <w:rFonts w:hint="eastAsia" w:ascii="仿宋" w:hAnsi="仿宋" w:eastAsia="仿宋" w:cs="宋体"/>
                <w:kern w:val="0"/>
                <w:sz w:val="24"/>
                <w:szCs w:val="24"/>
              </w:rPr>
              <w:t>（3）如市级电子印章业务需求调整，根据业务系统需求进行升级调整。</w:t>
            </w:r>
          </w:p>
        </w:tc>
        <w:tc>
          <w:tcPr>
            <w:tcW w:w="944"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 w:hAnsi="仿宋" w:eastAsia="仿宋" w:cs="宋体"/>
                <w:kern w:val="0"/>
                <w:sz w:val="24"/>
                <w:szCs w:val="24"/>
              </w:rPr>
            </w:pPr>
            <w:r>
              <w:rPr>
                <w:rFonts w:ascii="仿宋" w:hAnsi="仿宋" w:eastAsia="仿宋" w:cs="宋体"/>
                <w:kern w:val="0"/>
                <w:sz w:val="24"/>
                <w:szCs w:val="24"/>
              </w:rPr>
              <w:t xml:space="preserve">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850" w:type="dxa"/>
            <w:tcBorders>
              <w:top w:val="single" w:color="auto" w:sz="4" w:space="0"/>
              <w:left w:val="single" w:color="auto" w:sz="4" w:space="0"/>
              <w:bottom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ascii="仿宋" w:hAnsi="仿宋" w:eastAsia="仿宋" w:cs="宋体"/>
                <w:kern w:val="0"/>
                <w:sz w:val="24"/>
                <w:szCs w:val="24"/>
              </w:rPr>
              <w:t>3</w:t>
            </w:r>
          </w:p>
        </w:tc>
        <w:tc>
          <w:tcPr>
            <w:tcW w:w="1268" w:type="dxa"/>
            <w:tcBorders>
              <w:top w:val="single" w:color="auto" w:sz="4" w:space="0"/>
              <w:left w:val="single" w:color="auto" w:sz="4" w:space="0"/>
              <w:bottom w:val="single" w:color="auto" w:sz="4" w:space="0"/>
              <w:right w:val="single" w:color="auto" w:sz="4" w:space="0"/>
            </w:tcBorders>
            <w:noWrap/>
            <w:vAlign w:val="center"/>
          </w:tcPr>
          <w:p>
            <w:pPr>
              <w:widowControl/>
              <w:spacing w:line="520" w:lineRule="exact"/>
              <w:jc w:val="center"/>
              <w:rPr>
                <w:rFonts w:ascii="仿宋" w:hAnsi="仿宋" w:eastAsia="仿宋" w:cs="宋体"/>
                <w:kern w:val="0"/>
                <w:sz w:val="24"/>
                <w:szCs w:val="24"/>
              </w:rPr>
            </w:pPr>
            <w:r>
              <w:rPr>
                <w:rFonts w:hint="eastAsia" w:ascii="仿宋" w:hAnsi="仿宋" w:eastAsia="仿宋" w:cs="宋体"/>
                <w:kern w:val="0"/>
                <w:sz w:val="24"/>
                <w:szCs w:val="24"/>
              </w:rPr>
              <w:t>系统对接</w:t>
            </w:r>
          </w:p>
        </w:tc>
        <w:tc>
          <w:tcPr>
            <w:tcW w:w="5577" w:type="dxa"/>
            <w:tcBorders>
              <w:top w:val="single" w:color="auto" w:sz="4" w:space="0"/>
              <w:left w:val="single" w:color="auto" w:sz="4" w:space="0"/>
              <w:bottom w:val="single" w:color="auto" w:sz="4" w:space="0"/>
              <w:right w:val="single" w:color="auto" w:sz="4" w:space="0"/>
            </w:tcBorders>
            <w:vAlign w:val="center"/>
          </w:tcPr>
          <w:p>
            <w:pPr>
              <w:pStyle w:val="16"/>
              <w:spacing w:line="400" w:lineRule="exact"/>
              <w:ind w:firstLine="0" w:firstLineChars="0"/>
              <w:rPr>
                <w:rFonts w:ascii="仿宋" w:hAnsi="仿宋" w:eastAsia="仿宋" w:cs="宋体"/>
                <w:kern w:val="0"/>
              </w:rPr>
            </w:pPr>
            <w:r>
              <w:rPr>
                <w:rFonts w:hint="eastAsia" w:ascii="仿宋" w:hAnsi="仿宋" w:eastAsia="仿宋" w:cs="宋体"/>
                <w:kern w:val="0"/>
              </w:rPr>
              <w:t>系统对接包括市各级部门（单位）的业务系统对接。根据工作需要提供系统对接服务，包括但不限于以下工作：</w:t>
            </w:r>
          </w:p>
          <w:p>
            <w:pPr>
              <w:pStyle w:val="16"/>
              <w:spacing w:line="400" w:lineRule="exact"/>
              <w:ind w:firstLine="0" w:firstLineChars="0"/>
              <w:rPr>
                <w:rFonts w:ascii="仿宋" w:hAnsi="仿宋" w:eastAsia="仿宋" w:cs="宋体"/>
                <w:kern w:val="0"/>
              </w:rPr>
            </w:pPr>
            <w:r>
              <w:rPr>
                <w:rFonts w:hint="eastAsia" w:ascii="仿宋" w:hAnsi="仿宋" w:eastAsia="仿宋" w:cs="宋体"/>
                <w:kern w:val="0"/>
              </w:rPr>
              <w:t>（1）系统对接咨询：提供系统对接咨询服务，解答用户关于系统对接流程、接口规范、对接具体工作等咨询问题；</w:t>
            </w:r>
          </w:p>
          <w:p>
            <w:pPr>
              <w:pStyle w:val="16"/>
              <w:spacing w:line="400" w:lineRule="exact"/>
              <w:ind w:firstLine="0" w:firstLineChars="0"/>
              <w:rPr>
                <w:rFonts w:ascii="仿宋" w:hAnsi="仿宋" w:eastAsia="仿宋" w:cs="宋体"/>
                <w:kern w:val="0"/>
              </w:rPr>
            </w:pPr>
            <w:r>
              <w:rPr>
                <w:rFonts w:hint="eastAsia" w:ascii="仿宋" w:hAnsi="仿宋" w:eastAsia="仿宋" w:cs="宋体"/>
                <w:kern w:val="0"/>
              </w:rPr>
              <w:t>（</w:t>
            </w:r>
            <w:r>
              <w:rPr>
                <w:rFonts w:ascii="仿宋" w:hAnsi="仿宋" w:eastAsia="仿宋" w:cs="宋体"/>
                <w:kern w:val="0"/>
              </w:rPr>
              <w:t>2</w:t>
            </w:r>
            <w:r>
              <w:rPr>
                <w:rFonts w:hint="eastAsia" w:ascii="仿宋" w:hAnsi="仿宋" w:eastAsia="仿宋" w:cs="宋体"/>
                <w:kern w:val="0"/>
              </w:rPr>
              <w:t>）电子印章授权配置：新接入的业务系统需要在电子印章系统中配置其授权的电子印章信息；</w:t>
            </w:r>
          </w:p>
          <w:p>
            <w:pPr>
              <w:pStyle w:val="16"/>
              <w:spacing w:line="400" w:lineRule="exact"/>
              <w:ind w:firstLine="0" w:firstLineChars="0"/>
              <w:rPr>
                <w:rFonts w:ascii="仿宋" w:hAnsi="仿宋" w:eastAsia="仿宋" w:cs="宋体"/>
                <w:kern w:val="0"/>
              </w:rPr>
            </w:pPr>
            <w:r>
              <w:rPr>
                <w:rFonts w:hint="eastAsia" w:ascii="仿宋" w:hAnsi="仿宋" w:eastAsia="仿宋" w:cs="宋体"/>
                <w:kern w:val="0"/>
              </w:rPr>
              <w:t>（</w:t>
            </w:r>
            <w:r>
              <w:rPr>
                <w:rFonts w:ascii="仿宋" w:hAnsi="仿宋" w:eastAsia="仿宋" w:cs="宋体"/>
                <w:kern w:val="0"/>
              </w:rPr>
              <w:t>3</w:t>
            </w:r>
            <w:r>
              <w:rPr>
                <w:rFonts w:hint="eastAsia" w:ascii="仿宋" w:hAnsi="仿宋" w:eastAsia="仿宋" w:cs="宋体"/>
                <w:kern w:val="0"/>
              </w:rPr>
              <w:t>）接口对接：电子印章系统与新接入业务系统进行接口对接，联调测试等集成工作；对接过程中出现印章系统需要升级的，无需额外开发，则进行免费升级。</w:t>
            </w:r>
          </w:p>
          <w:p>
            <w:pPr>
              <w:spacing w:line="400" w:lineRule="exact"/>
              <w:rPr>
                <w:rFonts w:ascii="仿宋" w:hAnsi="仿宋" w:eastAsia="仿宋"/>
                <w:sz w:val="24"/>
                <w:szCs w:val="24"/>
              </w:rPr>
            </w:pPr>
            <w:r>
              <w:rPr>
                <w:rFonts w:hint="eastAsia" w:ascii="仿宋" w:hAnsi="仿宋" w:eastAsia="仿宋" w:cs="宋体"/>
                <w:kern w:val="0"/>
              </w:rPr>
              <w:t>（</w:t>
            </w:r>
            <w:r>
              <w:rPr>
                <w:rFonts w:ascii="仿宋" w:hAnsi="仿宋" w:eastAsia="仿宋" w:cs="宋体"/>
                <w:kern w:val="0"/>
              </w:rPr>
              <w:t>4</w:t>
            </w:r>
            <w:r>
              <w:rPr>
                <w:rFonts w:hint="eastAsia" w:ascii="仿宋" w:hAnsi="仿宋" w:eastAsia="仿宋" w:cs="宋体"/>
                <w:kern w:val="0"/>
              </w:rPr>
              <w:t>）</w:t>
            </w:r>
            <w:r>
              <w:rPr>
                <w:rFonts w:hint="eastAsia" w:ascii="仿宋" w:hAnsi="仿宋" w:eastAsia="仿宋" w:cs="宋体"/>
                <w:kern w:val="0"/>
                <w:sz w:val="24"/>
                <w:szCs w:val="24"/>
              </w:rPr>
              <w:t>对接省平台：根据省里的最新要求，做好与省平台的对接工作。</w:t>
            </w:r>
          </w:p>
        </w:tc>
        <w:tc>
          <w:tcPr>
            <w:tcW w:w="944"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 w:hAnsi="仿宋" w:eastAsia="仿宋" w:cs="宋体"/>
                <w:kern w:val="0"/>
                <w:sz w:val="24"/>
                <w:szCs w:val="24"/>
              </w:rPr>
            </w:pPr>
            <w:r>
              <w:rPr>
                <w:rFonts w:ascii="仿宋" w:hAnsi="仿宋" w:eastAsia="仿宋" w:cs="宋体"/>
                <w:kern w:val="0"/>
                <w:sz w:val="24"/>
                <w:szCs w:val="24"/>
              </w:rPr>
              <w:t>5</w:t>
            </w:r>
          </w:p>
        </w:tc>
      </w:tr>
    </w:tbl>
    <w:p>
      <w:pPr>
        <w:pStyle w:val="2"/>
        <w:rPr>
          <w:rFonts w:hint="eastAsia"/>
        </w:rPr>
      </w:pPr>
    </w:p>
    <w:p>
      <w:pPr>
        <w:numPr>
          <w:ilvl w:val="0"/>
          <w:numId w:val="2"/>
        </w:numPr>
        <w:ind w:left="759" w:leftChars="228" w:hanging="280" w:hangingChars="100"/>
        <w:rPr>
          <w:rFonts w:ascii="宋体" w:hAnsi="宋体" w:eastAsia="宋体" w:cs="宋体"/>
          <w:color w:val="000000" w:themeColor="text1"/>
          <w:kern w:val="0"/>
          <w:sz w:val="28"/>
          <w:szCs w:val="28"/>
          <w14:textFill>
            <w14:solidFill>
              <w14:schemeClr w14:val="tx1"/>
            </w14:solidFill>
          </w14:textFill>
        </w:rPr>
      </w:pPr>
      <w:r>
        <w:rPr>
          <w:rFonts w:ascii="宋体" w:hAnsi="宋体" w:eastAsia="宋体" w:cs="宋体"/>
          <w:color w:val="000000" w:themeColor="text1"/>
          <w:kern w:val="0"/>
          <w:sz w:val="28"/>
          <w:szCs w:val="28"/>
          <w14:textFill>
            <w14:solidFill>
              <w14:schemeClr w14:val="tx1"/>
            </w14:solidFill>
          </w14:textFill>
        </w:rPr>
        <w:t>服务期：</w:t>
      </w:r>
      <w:r>
        <w:rPr>
          <w:rFonts w:hint="eastAsia" w:ascii="宋体" w:hAnsi="宋体" w:eastAsia="宋体" w:cs="宋体"/>
          <w:color w:val="000000" w:themeColor="text1"/>
          <w:kern w:val="0"/>
          <w:sz w:val="28"/>
          <w:szCs w:val="28"/>
          <w14:textFill>
            <w14:solidFill>
              <w14:schemeClr w14:val="tx1"/>
            </w14:solidFill>
          </w14:textFill>
        </w:rPr>
        <w:t>合同生效之日起1</w:t>
      </w:r>
      <w:r>
        <w:rPr>
          <w:rFonts w:ascii="宋体" w:hAnsi="宋体" w:eastAsia="宋体" w:cs="宋体"/>
          <w:color w:val="000000" w:themeColor="text1"/>
          <w:kern w:val="0"/>
          <w:sz w:val="28"/>
          <w:szCs w:val="28"/>
          <w14:textFill>
            <w14:solidFill>
              <w14:schemeClr w14:val="tx1"/>
            </w14:solidFill>
          </w14:textFill>
        </w:rPr>
        <w:t>年</w:t>
      </w:r>
    </w:p>
    <w:p>
      <w:pPr>
        <w:numPr>
          <w:ilvl w:val="0"/>
          <w:numId w:val="2"/>
        </w:numPr>
        <w:ind w:left="759" w:leftChars="228" w:hanging="280" w:hangingChars="1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采购项目交付或执行的地点：泰州市</w:t>
      </w:r>
    </w:p>
    <w:p>
      <w:pPr>
        <w:numPr>
          <w:ilvl w:val="0"/>
          <w:numId w:val="2"/>
        </w:numPr>
        <w:ind w:left="759" w:leftChars="228" w:hanging="280" w:hangingChars="100"/>
        <w:rPr>
          <w:rFonts w:ascii="宋体" w:hAnsi="宋体" w:eastAsia="宋体" w:cs="宋体"/>
          <w:sz w:val="28"/>
          <w:szCs w:val="28"/>
        </w:rPr>
      </w:pPr>
      <w:r>
        <w:rPr>
          <w:rFonts w:ascii="宋体" w:hAnsi="宋体" w:eastAsia="宋体" w:cs="宋体"/>
          <w:color w:val="000000" w:themeColor="text1"/>
          <w:kern w:val="0"/>
          <w:sz w:val="28"/>
          <w:szCs w:val="28"/>
          <w14:textFill>
            <w14:solidFill>
              <w14:schemeClr w14:val="tx1"/>
            </w14:solidFill>
          </w14:textFill>
        </w:rPr>
        <w:t>付款方式：</w:t>
      </w:r>
      <w:r>
        <w:rPr>
          <w:rFonts w:hint="eastAsia" w:ascii="宋体" w:hAnsi="宋体" w:eastAsia="宋体" w:cs="宋体"/>
          <w:sz w:val="28"/>
          <w:szCs w:val="28"/>
        </w:rPr>
        <w:t>合同签订后，支付中标价的</w:t>
      </w:r>
      <w:r>
        <w:rPr>
          <w:rFonts w:ascii="宋体" w:hAnsi="宋体" w:eastAsia="宋体" w:cs="宋体"/>
          <w:sz w:val="28"/>
          <w:szCs w:val="28"/>
        </w:rPr>
        <w:t>5</w:t>
      </w:r>
      <w:r>
        <w:rPr>
          <w:rFonts w:hint="eastAsia" w:ascii="宋体" w:hAnsi="宋体" w:eastAsia="宋体" w:cs="宋体"/>
          <w:sz w:val="28"/>
          <w:szCs w:val="28"/>
        </w:rPr>
        <w:t>0%；</w:t>
      </w:r>
    </w:p>
    <w:p>
      <w:pPr>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经采购人验收通过之后1</w:t>
      </w:r>
      <w:r>
        <w:rPr>
          <w:rFonts w:ascii="宋体" w:hAnsi="宋体" w:eastAsia="宋体" w:cs="宋体"/>
          <w:sz w:val="28"/>
          <w:szCs w:val="28"/>
        </w:rPr>
        <w:t>5</w:t>
      </w:r>
      <w:r>
        <w:rPr>
          <w:rFonts w:hint="eastAsia" w:ascii="宋体" w:hAnsi="宋体" w:eastAsia="宋体" w:cs="宋体"/>
          <w:sz w:val="28"/>
          <w:szCs w:val="28"/>
        </w:rPr>
        <w:t>个工作日内，支付中标价的</w:t>
      </w:r>
      <w:r>
        <w:rPr>
          <w:rFonts w:ascii="宋体" w:hAnsi="宋体" w:eastAsia="宋体" w:cs="宋体"/>
          <w:sz w:val="28"/>
          <w:szCs w:val="28"/>
        </w:rPr>
        <w:t>5</w:t>
      </w:r>
      <w:r>
        <w:rPr>
          <w:rFonts w:hint="eastAsia" w:ascii="宋体" w:hAnsi="宋体" w:eastAsia="宋体" w:cs="宋体"/>
          <w:sz w:val="28"/>
          <w:szCs w:val="28"/>
        </w:rPr>
        <w:t>0%。</w:t>
      </w:r>
    </w:p>
    <w:p>
      <w:pPr>
        <w:spacing w:line="440" w:lineRule="exact"/>
        <w:jc w:val="left"/>
        <w:rPr>
          <w:rFonts w:ascii="宋体" w:hAnsi="宋体" w:eastAsia="宋体" w:cs="宋体"/>
          <w:sz w:val="28"/>
          <w:szCs w:val="28"/>
        </w:rPr>
      </w:pPr>
      <w:r>
        <w:rPr>
          <w:rFonts w:hint="eastAsia" w:ascii="黑体" w:hAnsi="黑体" w:eastAsia="黑体"/>
          <w:sz w:val="28"/>
          <w:szCs w:val="28"/>
        </w:rPr>
        <w:t>（因财政相关原因不能及时支付的，将延期支付）。</w:t>
      </w: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下列关于泰州市政府采购XXX（项目编号）的采购文件、响应文件或与本次采购活动方式相适应的文件及有关附件是本合同不可分割的组成部分，与本合同具有同等法律效力，这些文件包括但不限于：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outlineLvl w:val="1"/>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9"/>
        <w:tblpPr w:leftFromText="180" w:rightFromText="180" w:vertAnchor="text" w:horzAnchor="margin" w:tblpXSpec="center" w:tblpY="102"/>
        <w:tblOverlap w:val="never"/>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017"/>
        <w:gridCol w:w="6213"/>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b/>
                <w:color w:val="000000" w:themeColor="text1"/>
                <w:szCs w:val="21"/>
                <w14:textFill>
                  <w14:solidFill>
                    <w14:schemeClr w14:val="tx1"/>
                  </w14:solidFill>
                </w14:textFill>
              </w:rPr>
            </w:pPr>
            <w:r>
              <w:rPr>
                <w:rFonts w:hint="eastAsia" w:cs="宋体"/>
                <w:b/>
                <w:color w:val="000000" w:themeColor="text1"/>
                <w:szCs w:val="21"/>
                <w14:textFill>
                  <w14:solidFill>
                    <w14:schemeClr w14:val="tx1"/>
                  </w14:solidFill>
                </w14:textFill>
              </w:rPr>
              <w:t>序号</w:t>
            </w: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b/>
                <w:color w:val="000000" w:themeColor="text1"/>
                <w:szCs w:val="21"/>
                <w14:textFill>
                  <w14:solidFill>
                    <w14:schemeClr w14:val="tx1"/>
                  </w14:solidFill>
                </w14:textFill>
              </w:rPr>
            </w:pPr>
            <w:r>
              <w:rPr>
                <w:rFonts w:hint="eastAsia" w:cs="宋体"/>
                <w:b/>
                <w:color w:val="000000" w:themeColor="text1"/>
                <w:szCs w:val="21"/>
                <w14:textFill>
                  <w14:solidFill>
                    <w14:schemeClr w14:val="tx1"/>
                  </w14:solidFill>
                </w14:textFill>
              </w:rPr>
              <w:t>类别</w:t>
            </w:r>
          </w:p>
        </w:tc>
        <w:tc>
          <w:tcPr>
            <w:tcW w:w="621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ΟGB2312"/>
                <w:b/>
                <w:color w:val="000000" w:themeColor="text1"/>
                <w:szCs w:val="21"/>
                <w14:textFill>
                  <w14:solidFill>
                    <w14:schemeClr w14:val="tx1"/>
                  </w14:solidFill>
                </w14:textFill>
              </w:rPr>
            </w:pPr>
            <w:r>
              <w:rPr>
                <w:rFonts w:hint="eastAsia" w:cs="宋体"/>
                <w:b/>
                <w:color w:val="000000" w:themeColor="text1"/>
                <w:szCs w:val="21"/>
                <w14:textFill>
                  <w14:solidFill>
                    <w14:schemeClr w14:val="tx1"/>
                  </w14:solidFill>
                </w14:textFill>
              </w:rPr>
              <w:t>评分标准</w:t>
            </w:r>
          </w:p>
        </w:tc>
        <w:tc>
          <w:tcPr>
            <w:tcW w:w="91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b/>
                <w:color w:val="000000" w:themeColor="text1"/>
                <w:szCs w:val="21"/>
                <w14:textFill>
                  <w14:solidFill>
                    <w14:schemeClr w14:val="tx1"/>
                  </w14:solidFill>
                </w14:textFill>
              </w:rPr>
            </w:pPr>
            <w:r>
              <w:rPr>
                <w:rFonts w:hint="eastAsia" w:cs="宋体"/>
                <w:b/>
                <w:color w:val="000000" w:themeColor="text1"/>
                <w:szCs w:val="21"/>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10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价格</w:t>
            </w:r>
          </w:p>
        </w:tc>
        <w:tc>
          <w:tcPr>
            <w:tcW w:w="6213" w:type="dxa"/>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采用低价优先法计算，即满足招标文件要求且投标价格最低的投标报价为评标基准价，其价格分为满分。其他投标人的价格分按照下列公式计算（小数点保报价得分=(评标基准价／投标报价)×10。</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对小型和微型企业产品的价格给予20%的扣除。参加报价的中小企业，应当按照《政府采购促进中小企业发展管理办法》（财库〔2020〕46号）的规定提供《小微企业声明函》（中小企业划型标准详见《关于印发中小企业划型标准规定的通知》工信部联企业〔2011〕300号）。</w:t>
            </w:r>
          </w:p>
        </w:tc>
        <w:tc>
          <w:tcPr>
            <w:tcW w:w="914"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ascii="宋体" w:hAnsi="宋体" w:eastAsia="宋体" w:cs="宋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pStyle w:val="2"/>
              <w:ind w:firstLine="0"/>
              <w:rPr>
                <w:rFonts w:ascii="宋体" w:hAnsi="宋体" w:cs="宋体"/>
              </w:rPr>
            </w:pPr>
            <w:r>
              <w:rPr>
                <w:rFonts w:hint="eastAsia" w:ascii="宋体" w:hAnsi="宋体" w:cs="宋体"/>
              </w:rPr>
              <w:t>2</w:t>
            </w:r>
          </w:p>
        </w:tc>
        <w:tc>
          <w:tcPr>
            <w:tcW w:w="10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cs="宋体"/>
              </w:rPr>
            </w:pPr>
            <w:r>
              <w:rPr>
                <w:rFonts w:hint="eastAsia" w:ascii="宋体" w:hAnsi="宋体" w:eastAsia="宋体" w:cs="宋体"/>
                <w:color w:val="000000" w:themeColor="text1"/>
                <w:szCs w:val="21"/>
                <w14:textFill>
                  <w14:solidFill>
                    <w14:schemeClr w14:val="tx1"/>
                  </w14:solidFill>
                </w14:textFill>
              </w:rPr>
              <w:t>商务部分</w:t>
            </w:r>
          </w:p>
        </w:tc>
        <w:tc>
          <w:tcPr>
            <w:tcW w:w="6213" w:type="dxa"/>
            <w:tcBorders>
              <w:top w:val="single" w:color="auto" w:sz="4" w:space="0"/>
              <w:left w:val="single" w:color="auto" w:sz="4" w:space="0"/>
              <w:bottom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ascii="宋体" w:hAnsi="宋体" w:eastAsia="宋体" w:cs="宋体"/>
                <w:color w:val="000000" w:themeColor="text1"/>
                <w:szCs w:val="21"/>
                <w14:textFill>
                  <w14:solidFill>
                    <w14:schemeClr w14:val="tx1"/>
                  </w14:solidFill>
                </w14:textFill>
              </w:rPr>
              <w:t>1）供应商具有ISO27001信息安全管理体系认证证书、ISO20000IT服务管理体系认证证书、ISO9001质量管理体系认证证书、国家高新企业证书证书，每提供一种证书得2分，本项最高得8分，未提供不得分。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ascii="宋体" w:hAnsi="宋体" w:eastAsia="宋体" w:cs="宋体"/>
                <w:color w:val="000000" w:themeColor="text1"/>
                <w:szCs w:val="21"/>
                <w14:textFill>
                  <w14:solidFill>
                    <w14:schemeClr w14:val="tx1"/>
                  </w14:solidFill>
                </w14:textFill>
              </w:rPr>
              <w:t>2）供应商提供自有电子印章产品证明得2分，未提供不得分。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r>
              <w:rPr>
                <w:rFonts w:ascii="宋体" w:hAnsi="宋体" w:eastAsia="宋体" w:cs="宋体"/>
                <w:color w:val="000000" w:themeColor="text1"/>
                <w:szCs w:val="21"/>
                <w14:textFill>
                  <w14:solidFill>
                    <w14:schemeClr w14:val="tx1"/>
                  </w14:solidFill>
                </w14:textFill>
              </w:rPr>
              <w:t>电子印章相关产品有商用密码检测机构出具的性能测试报告，服务端签章支持并发数不小于1000，服务端签章速度不小于500次/秒，得</w:t>
            </w:r>
            <w:r>
              <w:rPr>
                <w:rFonts w:hint="eastAsia" w:ascii="宋体" w:hAnsi="宋体" w:eastAsia="宋体" w:cs="宋体"/>
                <w:color w:val="000000" w:themeColor="text1"/>
                <w:szCs w:val="21"/>
                <w14:textFill>
                  <w14:solidFill>
                    <w14:schemeClr w14:val="tx1"/>
                  </w14:solidFill>
                </w14:textFill>
              </w:rPr>
              <w:t>5</w:t>
            </w:r>
            <w:r>
              <w:rPr>
                <w:rFonts w:ascii="宋体" w:hAnsi="宋体" w:eastAsia="宋体" w:cs="宋体"/>
                <w:color w:val="000000" w:themeColor="text1"/>
                <w:szCs w:val="21"/>
                <w14:textFill>
                  <w14:solidFill>
                    <w14:schemeClr w14:val="tx1"/>
                  </w14:solidFill>
                </w14:textFill>
              </w:rPr>
              <w:t>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r>
              <w:rPr>
                <w:rFonts w:ascii="宋体" w:hAnsi="宋体" w:eastAsia="宋体" w:cs="宋体"/>
                <w:color w:val="000000" w:themeColor="text1"/>
                <w:szCs w:val="21"/>
                <w14:textFill>
                  <w14:solidFill>
                    <w14:schemeClr w14:val="tx1"/>
                  </w14:solidFill>
                </w14:textFill>
              </w:rPr>
              <w:t>）供应商提供自有服务器密码产品证明得</w:t>
            </w:r>
            <w:r>
              <w:rPr>
                <w:rFonts w:hint="eastAsia" w:ascii="宋体" w:hAnsi="宋体" w:eastAsia="宋体" w:cs="宋体"/>
                <w:color w:val="000000" w:themeColor="text1"/>
                <w:szCs w:val="21"/>
                <w14:textFill>
                  <w14:solidFill>
                    <w14:schemeClr w14:val="tx1"/>
                  </w14:solidFill>
                </w14:textFill>
              </w:rPr>
              <w:t>5</w:t>
            </w:r>
            <w:r>
              <w:rPr>
                <w:rFonts w:ascii="宋体" w:hAnsi="宋体" w:eastAsia="宋体" w:cs="宋体"/>
                <w:color w:val="000000" w:themeColor="text1"/>
                <w:szCs w:val="21"/>
                <w14:textFill>
                  <w14:solidFill>
                    <w14:schemeClr w14:val="tx1"/>
                  </w14:solidFill>
                </w14:textFill>
              </w:rPr>
              <w:t>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w:t>
            </w:r>
            <w:r>
              <w:rPr>
                <w:rFonts w:ascii="宋体" w:hAnsi="宋体" w:eastAsia="宋体" w:cs="宋体"/>
                <w:color w:val="000000" w:themeColor="text1"/>
                <w:szCs w:val="21"/>
                <w14:textFill>
                  <w14:solidFill>
                    <w14:schemeClr w14:val="tx1"/>
                  </w14:solidFill>
                </w14:textFill>
              </w:rPr>
              <w:t>）供应商提供自有签名验签服务器产品证明得</w:t>
            </w:r>
            <w:r>
              <w:rPr>
                <w:rFonts w:hint="eastAsia" w:ascii="宋体" w:hAnsi="宋体" w:eastAsia="宋体" w:cs="宋体"/>
                <w:color w:val="000000" w:themeColor="text1"/>
                <w:szCs w:val="21"/>
                <w14:textFill>
                  <w14:solidFill>
                    <w14:schemeClr w14:val="tx1"/>
                  </w14:solidFill>
                </w14:textFill>
              </w:rPr>
              <w:t>5</w:t>
            </w:r>
            <w:r>
              <w:rPr>
                <w:rFonts w:ascii="宋体" w:hAnsi="宋体" w:eastAsia="宋体" w:cs="宋体"/>
                <w:color w:val="000000" w:themeColor="text1"/>
                <w:szCs w:val="21"/>
                <w14:textFill>
                  <w14:solidFill>
                    <w14:schemeClr w14:val="tx1"/>
                  </w14:solidFill>
                </w14:textFill>
              </w:rPr>
              <w:t>分，未提供不得分。</w:t>
            </w:r>
          </w:p>
        </w:tc>
        <w:tc>
          <w:tcPr>
            <w:tcW w:w="914"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r>
              <w:rPr>
                <w:rFonts w:ascii="宋体" w:hAnsi="宋体" w:eastAsia="宋体" w:cs="宋体"/>
                <w:color w:val="000000" w:themeColor="text1"/>
                <w:szCs w:val="21"/>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pStyle w:val="2"/>
              <w:ind w:firstLine="0"/>
              <w:rPr>
                <w:rFonts w:ascii="宋体" w:hAnsi="宋体" w:cs="宋体"/>
              </w:rPr>
            </w:pPr>
            <w:r>
              <w:rPr>
                <w:rFonts w:hint="eastAsia" w:ascii="宋体" w:hAnsi="宋体" w:cs="宋体"/>
              </w:rPr>
              <w:t>3</w:t>
            </w:r>
          </w:p>
        </w:tc>
        <w:tc>
          <w:tcPr>
            <w:tcW w:w="10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cs="宋体"/>
              </w:rPr>
            </w:pPr>
            <w:r>
              <w:rPr>
                <w:rFonts w:hint="eastAsia" w:ascii="宋体" w:hAnsi="宋体" w:eastAsia="宋体" w:cs="宋体"/>
                <w:color w:val="000000" w:themeColor="text1"/>
                <w:szCs w:val="21"/>
                <w14:textFill>
                  <w14:solidFill>
                    <w14:schemeClr w14:val="tx1"/>
                  </w14:solidFill>
                </w14:textFill>
              </w:rPr>
              <w:t>现状分析</w:t>
            </w:r>
          </w:p>
        </w:tc>
        <w:tc>
          <w:tcPr>
            <w:tcW w:w="6213" w:type="dxa"/>
            <w:tcBorders>
              <w:top w:val="single" w:color="auto" w:sz="4" w:space="0"/>
              <w:left w:val="single" w:color="auto" w:sz="4" w:space="0"/>
              <w:bottom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对现有电子印章系统现状进行充分调研了解，对系统所涉及硬件设备现状、第三方支撑系统现状、应用系统现状、系统部署结构、系统使用方法等部分进行说明。对现有印章系统现状分析准确，符合泰州实际情况的，得7</w:t>
            </w:r>
            <w:r>
              <w:rPr>
                <w:rFonts w:ascii="宋体" w:hAnsi="宋体" w:eastAsia="宋体" w:cs="宋体"/>
                <w:color w:val="000000" w:themeColor="text1"/>
                <w:szCs w:val="21"/>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分；对现有印章系统现状分析基本准确，基本符合泰州实际情况的，得3</w:t>
            </w:r>
            <w:r>
              <w:rPr>
                <w:rFonts w:ascii="宋体" w:hAnsi="宋体" w:eastAsia="宋体" w:cs="宋体"/>
                <w:color w:val="000000" w:themeColor="text1"/>
                <w:szCs w:val="21"/>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分；对现有印章系统现状分析一般的，得</w:t>
            </w:r>
            <w:r>
              <w:rPr>
                <w:rFonts w:ascii="宋体" w:hAnsi="宋体" w:eastAsia="宋体" w:cs="宋体"/>
                <w:color w:val="000000" w:themeColor="text1"/>
                <w:szCs w:val="21"/>
                <w14:textFill>
                  <w14:solidFill>
                    <w14:schemeClr w14:val="tx1"/>
                  </w14:solidFill>
                </w14:textFill>
              </w:rPr>
              <w:t>1-3</w:t>
            </w:r>
            <w:r>
              <w:rPr>
                <w:rFonts w:hint="eastAsia" w:ascii="宋体" w:hAnsi="宋体" w:eastAsia="宋体" w:cs="宋体"/>
                <w:color w:val="000000" w:themeColor="text1"/>
                <w:szCs w:val="21"/>
                <w14:textFill>
                  <w14:solidFill>
                    <w14:schemeClr w14:val="tx1"/>
                  </w14:solidFill>
                </w14:textFill>
              </w:rPr>
              <w:t>分；未提供不得分。</w:t>
            </w:r>
          </w:p>
        </w:tc>
        <w:tc>
          <w:tcPr>
            <w:tcW w:w="914"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ascii="宋体" w:hAnsi="宋体" w:eastAsia="宋体" w:cs="宋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pStyle w:val="2"/>
              <w:ind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10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cs="宋体"/>
              </w:rPr>
            </w:pPr>
            <w:r>
              <w:rPr>
                <w:rFonts w:ascii="宋体" w:hAnsi="宋体" w:eastAsia="宋体" w:cs="宋体"/>
                <w:color w:val="000000" w:themeColor="text1"/>
                <w:szCs w:val="21"/>
                <w14:textFill>
                  <w14:solidFill>
                    <w14:schemeClr w14:val="tx1"/>
                  </w14:solidFill>
                </w14:textFill>
              </w:rPr>
              <w:t>维护服务</w:t>
            </w:r>
            <w:r>
              <w:rPr>
                <w:rFonts w:hint="eastAsia" w:ascii="宋体" w:hAnsi="宋体" w:eastAsia="宋体" w:cs="宋体"/>
                <w:color w:val="000000" w:themeColor="text1"/>
                <w:szCs w:val="21"/>
                <w14:textFill>
                  <w14:solidFill>
                    <w14:schemeClr w14:val="tx1"/>
                  </w14:solidFill>
                </w14:textFill>
              </w:rPr>
              <w:t>方案</w:t>
            </w:r>
          </w:p>
        </w:tc>
        <w:tc>
          <w:tcPr>
            <w:tcW w:w="6213" w:type="dxa"/>
            <w:tcBorders>
              <w:top w:val="single" w:color="auto" w:sz="4" w:space="0"/>
              <w:left w:val="single" w:color="auto" w:sz="4" w:space="0"/>
              <w:bottom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对本项目的一体化运维服务的组织架构、运维范围、管理流程、工作流程、故障及处理流程、运维管理服务等</w:t>
            </w:r>
            <w:r>
              <w:rPr>
                <w:rFonts w:ascii="宋体" w:hAnsi="宋体" w:eastAsia="宋体" w:cs="宋体"/>
                <w:color w:val="000000" w:themeColor="text1"/>
                <w:szCs w:val="21"/>
                <w14:textFill>
                  <w14:solidFill>
                    <w14:schemeClr w14:val="tx1"/>
                  </w14:solidFill>
                </w14:textFill>
              </w:rPr>
              <w:t>6个关键点进行阐述，由评标专家对投标人提供方案的完整性和合理性进行评分，每块内容理解明确，阐述完整，较好满足采购需求的，得2-3分；每块内容需求理解一般，阐述较差，基本满足采购需求的，得0-1分。</w:t>
            </w:r>
          </w:p>
        </w:tc>
        <w:tc>
          <w:tcPr>
            <w:tcW w:w="914"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ascii="宋体" w:hAnsi="宋体" w:eastAsia="宋体" w:cs="宋体"/>
                <w:color w:val="000000" w:themeColor="text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675" w:type="dxa"/>
            <w:tcBorders>
              <w:top w:val="single" w:color="auto" w:sz="4" w:space="0"/>
              <w:left w:val="single" w:color="auto" w:sz="4" w:space="0"/>
              <w:right w:val="single" w:color="auto" w:sz="4" w:space="0"/>
            </w:tcBorders>
            <w:vAlign w:val="center"/>
          </w:tcPr>
          <w:p>
            <w:pPr>
              <w:pStyle w:val="2"/>
              <w:ind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1017" w:type="dxa"/>
            <w:tcBorders>
              <w:top w:val="single" w:color="auto" w:sz="4" w:space="0"/>
              <w:left w:val="single" w:color="auto" w:sz="4" w:space="0"/>
              <w:right w:val="single" w:color="auto" w:sz="4" w:space="0"/>
            </w:tcBorders>
            <w:vAlign w:val="center"/>
          </w:tcPr>
          <w:p>
            <w:pPr>
              <w:spacing w:line="0" w:lineRule="atLeast"/>
              <w:jc w:val="center"/>
              <w:rPr>
                <w:rFonts w:ascii="宋体" w:hAnsi="宋体" w:cs="宋体"/>
              </w:rPr>
            </w:pPr>
            <w:r>
              <w:rPr>
                <w:rFonts w:ascii="宋体" w:hAnsi="宋体" w:eastAsia="宋体" w:cs="宋体"/>
                <w:color w:val="000000" w:themeColor="text1"/>
                <w:szCs w:val="21"/>
                <w14:textFill>
                  <w14:solidFill>
                    <w14:schemeClr w14:val="tx1"/>
                  </w14:solidFill>
                </w14:textFill>
              </w:rPr>
              <w:t>系统对接方案</w:t>
            </w:r>
          </w:p>
        </w:tc>
        <w:tc>
          <w:tcPr>
            <w:tcW w:w="6213" w:type="dxa"/>
            <w:tcBorders>
              <w:top w:val="single" w:color="auto" w:sz="4" w:space="0"/>
              <w:left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系统对接包括市各级部门的业务系统对接和省平台的对接，方案提供详细的省平台技术对接方案和部门业务系统统一对接方案。对接方案描述准确，可操作性强，得7</w:t>
            </w:r>
            <w:r>
              <w:rPr>
                <w:rFonts w:ascii="宋体" w:hAnsi="宋体" w:eastAsia="宋体" w:cs="宋体"/>
                <w:color w:val="000000" w:themeColor="text1"/>
                <w:szCs w:val="21"/>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分；对接方案描述基本准确，可操作性一般，得3</w:t>
            </w:r>
            <w:r>
              <w:rPr>
                <w:rFonts w:ascii="宋体" w:hAnsi="宋体" w:eastAsia="宋体" w:cs="宋体"/>
                <w:color w:val="000000" w:themeColor="text1"/>
                <w:szCs w:val="21"/>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分；对接方案描述一般的，得</w:t>
            </w:r>
            <w:r>
              <w:rPr>
                <w:rFonts w:ascii="宋体" w:hAnsi="宋体" w:eastAsia="宋体" w:cs="宋体"/>
                <w:color w:val="000000" w:themeColor="text1"/>
                <w:szCs w:val="21"/>
                <w14:textFill>
                  <w14:solidFill>
                    <w14:schemeClr w14:val="tx1"/>
                  </w14:solidFill>
                </w14:textFill>
              </w:rPr>
              <w:t>1-3</w:t>
            </w:r>
            <w:r>
              <w:rPr>
                <w:rFonts w:hint="eastAsia" w:ascii="宋体" w:hAnsi="宋体" w:eastAsia="宋体" w:cs="宋体"/>
                <w:color w:val="000000" w:themeColor="text1"/>
                <w:szCs w:val="21"/>
                <w14:textFill>
                  <w14:solidFill>
                    <w14:schemeClr w14:val="tx1"/>
                  </w14:solidFill>
                </w14:textFill>
              </w:rPr>
              <w:t>分；未提供不得分。</w:t>
            </w:r>
          </w:p>
        </w:tc>
        <w:tc>
          <w:tcPr>
            <w:tcW w:w="914"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ascii="宋体" w:hAnsi="宋体" w:eastAsia="宋体" w:cs="宋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675" w:type="dxa"/>
            <w:tcBorders>
              <w:top w:val="single" w:color="auto" w:sz="4" w:space="0"/>
              <w:left w:val="single" w:color="auto" w:sz="4" w:space="0"/>
              <w:right w:val="single" w:color="auto" w:sz="4" w:space="0"/>
            </w:tcBorders>
            <w:vAlign w:val="center"/>
          </w:tcPr>
          <w:p>
            <w:pPr>
              <w:pStyle w:val="2"/>
              <w:ind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1017" w:type="dxa"/>
            <w:tcBorders>
              <w:top w:val="single" w:color="auto" w:sz="4" w:space="0"/>
              <w:left w:val="single" w:color="auto" w:sz="4" w:space="0"/>
              <w:right w:val="single" w:color="auto" w:sz="4" w:space="0"/>
            </w:tcBorders>
            <w:vAlign w:val="center"/>
          </w:tcPr>
          <w:p>
            <w:pPr>
              <w:spacing w:line="0" w:lineRule="atLeast"/>
              <w:jc w:val="center"/>
              <w:rPr>
                <w:rFonts w:ascii="宋体" w:hAnsi="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应急保障方案</w:t>
            </w:r>
          </w:p>
        </w:tc>
        <w:tc>
          <w:tcPr>
            <w:tcW w:w="6213" w:type="dxa"/>
            <w:tcBorders>
              <w:top w:val="single" w:color="auto" w:sz="4" w:space="0"/>
              <w:left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根据在维保服务实际工作中可能出现紧急情况时制定应急保障方案的合理性、安全性、可行性和时效性等相关内容进行评分。应急保障方案</w:t>
            </w:r>
            <w:r>
              <w:rPr>
                <w:rFonts w:hint="eastAsia" w:ascii="宋体" w:hAnsi="宋体" w:eastAsia="宋体" w:cs="宋体"/>
                <w:color w:val="000000" w:themeColor="text1"/>
                <w:szCs w:val="21"/>
                <w14:textFill>
                  <w14:solidFill>
                    <w14:schemeClr w14:val="tx1"/>
                  </w14:solidFill>
                </w14:textFill>
              </w:rPr>
              <w:t>详尽、科学合理全面，得</w:t>
            </w:r>
            <w:r>
              <w:rPr>
                <w:rFonts w:ascii="宋体" w:hAnsi="宋体" w:eastAsia="宋体" w:cs="宋体"/>
                <w:color w:val="000000" w:themeColor="text1"/>
                <w:szCs w:val="21"/>
                <w14:textFill>
                  <w14:solidFill>
                    <w14:schemeClr w14:val="tx1"/>
                  </w14:solidFill>
                </w14:textFill>
              </w:rPr>
              <w:t>5-6分；应急保障方案完整、较为科学合理全面的，基本符合招标文件要求得3-4分；应急保障方案基本合理，得1-2分；不提供不得分。</w:t>
            </w:r>
          </w:p>
        </w:tc>
        <w:tc>
          <w:tcPr>
            <w:tcW w:w="914"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675" w:type="dxa"/>
            <w:tcBorders>
              <w:top w:val="single" w:color="auto" w:sz="4" w:space="0"/>
              <w:left w:val="single" w:color="auto" w:sz="4" w:space="0"/>
              <w:right w:val="single" w:color="auto" w:sz="4" w:space="0"/>
            </w:tcBorders>
            <w:vAlign w:val="center"/>
          </w:tcPr>
          <w:p>
            <w:pPr>
              <w:pStyle w:val="2"/>
              <w:ind w:firstLine="0"/>
              <w:rPr>
                <w:rFonts w:ascii="宋体" w:hAnsi="宋体" w:cs="宋体"/>
              </w:rPr>
            </w:pPr>
            <w:r>
              <w:rPr>
                <w:rFonts w:hint="eastAsia" w:ascii="宋体" w:hAnsi="宋体" w:cs="宋体"/>
              </w:rPr>
              <w:t>7</w:t>
            </w:r>
          </w:p>
        </w:tc>
        <w:tc>
          <w:tcPr>
            <w:tcW w:w="1017"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案例</w:t>
            </w:r>
          </w:p>
        </w:tc>
        <w:tc>
          <w:tcPr>
            <w:tcW w:w="6213" w:type="dxa"/>
            <w:tcBorders>
              <w:top w:val="single" w:color="auto" w:sz="4" w:space="0"/>
              <w:left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供应商有电子印章系统运维经验，自2020年1月1日以来承担过电子印章</w:t>
            </w:r>
            <w:r>
              <w:rPr>
                <w:rFonts w:hint="eastAsia" w:ascii="宋体" w:hAnsi="宋体" w:eastAsia="宋体" w:cs="宋体"/>
                <w:color w:val="000000" w:themeColor="text1"/>
                <w:szCs w:val="21"/>
                <w14:textFill>
                  <w14:solidFill>
                    <w14:schemeClr w14:val="tx1"/>
                  </w14:solidFill>
                </w14:textFill>
              </w:rPr>
              <w:t>建设或</w:t>
            </w:r>
            <w:r>
              <w:rPr>
                <w:rFonts w:ascii="宋体" w:hAnsi="宋体" w:eastAsia="宋体" w:cs="宋体"/>
                <w:color w:val="000000" w:themeColor="text1"/>
                <w:szCs w:val="21"/>
                <w14:textFill>
                  <w14:solidFill>
                    <w14:schemeClr w14:val="tx1"/>
                  </w14:solidFill>
                </w14:textFill>
              </w:rPr>
              <w:t>运维服务类项目，每提供一个得5分，本项最高得分10分，未提供不得分。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注：时间以合同为准。需提供项目合同（扫描件加盖供应商电子签章</w:t>
            </w:r>
            <w:r>
              <w:rPr>
                <w:rFonts w:ascii="宋体" w:hAnsi="宋体" w:eastAsia="宋体" w:cs="宋体"/>
                <w:color w:val="000000" w:themeColor="text1"/>
                <w:szCs w:val="21"/>
                <w14:textFill>
                  <w14:solidFill>
                    <w14:schemeClr w14:val="tx1"/>
                  </w14:solidFill>
                </w14:textFill>
              </w:rPr>
              <w:t>,原件备查），如合同中不能反映项目内容的，还需提供由用户出具的相关证明材料（加盖用户公章的扫描件）。</w:t>
            </w:r>
          </w:p>
        </w:tc>
        <w:tc>
          <w:tcPr>
            <w:tcW w:w="914"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ascii="宋体" w:hAnsi="宋体" w:eastAsia="宋体" w:cs="宋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675" w:type="dxa"/>
            <w:tcBorders>
              <w:top w:val="single" w:color="auto" w:sz="4" w:space="0"/>
              <w:left w:val="single" w:color="auto" w:sz="4" w:space="0"/>
              <w:right w:val="single" w:color="auto" w:sz="4" w:space="0"/>
            </w:tcBorders>
            <w:vAlign w:val="center"/>
          </w:tcPr>
          <w:p>
            <w:pPr>
              <w:pStyle w:val="2"/>
              <w:ind w:firstLine="0"/>
              <w:rPr>
                <w:rFonts w:ascii="宋体" w:hAnsi="宋体" w:cs="宋体"/>
              </w:rPr>
            </w:pPr>
            <w:r>
              <w:rPr>
                <w:rFonts w:hint="eastAsia" w:ascii="宋体" w:hAnsi="宋体" w:cs="宋体"/>
              </w:rPr>
              <w:t>8</w:t>
            </w:r>
          </w:p>
        </w:tc>
        <w:tc>
          <w:tcPr>
            <w:tcW w:w="1017"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人员要求</w:t>
            </w:r>
          </w:p>
        </w:tc>
        <w:tc>
          <w:tcPr>
            <w:tcW w:w="6213" w:type="dxa"/>
            <w:tcBorders>
              <w:top w:val="single" w:color="auto" w:sz="4" w:space="0"/>
              <w:left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ascii="宋体" w:hAnsi="宋体" w:eastAsia="宋体" w:cs="宋体"/>
                <w:color w:val="000000" w:themeColor="text1"/>
                <w:szCs w:val="21"/>
                <w14:textFill>
                  <w14:solidFill>
                    <w14:schemeClr w14:val="tx1"/>
                  </w14:solidFill>
                </w14:textFill>
              </w:rPr>
              <w:t>1）供应商针对本项目拟派的项目负责人具有高级信息系统项目管理师证书的得2分，未提供不得分。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ascii="宋体" w:hAnsi="宋体" w:eastAsia="宋体" w:cs="宋体"/>
                <w:color w:val="000000" w:themeColor="text1"/>
                <w:szCs w:val="21"/>
                <w14:textFill>
                  <w14:solidFill>
                    <w14:schemeClr w14:val="tx1"/>
                  </w14:solidFill>
                </w14:textFill>
              </w:rPr>
              <w:t>2）供应商针对本项目拟派的项目组成员(除项目负责人外)具有注册信息安全工程师、信息安全保障人员证书，每提供一个得2分，本项最高得4分，未提供不得分。</w:t>
            </w:r>
          </w:p>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注：上述人员</w:t>
            </w:r>
            <w:r>
              <w:rPr>
                <w:rFonts w:ascii="宋体" w:hAnsi="宋体" w:eastAsia="宋体" w:cs="宋体"/>
                <w:color w:val="000000" w:themeColor="text1"/>
                <w:szCs w:val="21"/>
                <w14:textFill>
                  <w14:solidFill>
                    <w14:schemeClr w14:val="tx1"/>
                  </w14:solidFill>
                </w14:textFill>
              </w:rPr>
              <w:t>还需提供供应商近6个月内任意1个月为其缴纳社保的证明文件并加盖公章。未提供不得分。</w:t>
            </w:r>
          </w:p>
        </w:tc>
        <w:tc>
          <w:tcPr>
            <w:tcW w:w="914"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75"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w:t>
            </w:r>
          </w:p>
        </w:tc>
        <w:tc>
          <w:tcPr>
            <w:tcW w:w="1017" w:type="dxa"/>
            <w:tcBorders>
              <w:top w:val="single" w:color="auto" w:sz="4" w:space="0"/>
              <w:left w:val="single" w:color="auto" w:sz="4" w:space="0"/>
              <w:right w:val="single" w:color="auto" w:sz="4" w:space="0"/>
            </w:tcBorders>
            <w:vAlign w:val="center"/>
          </w:tcPr>
          <w:p>
            <w:pPr>
              <w:spacing w:line="0" w:lineRule="atLeas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售后部分</w:t>
            </w:r>
          </w:p>
        </w:tc>
        <w:tc>
          <w:tcPr>
            <w:tcW w:w="6213" w:type="dxa"/>
            <w:tcBorders>
              <w:top w:val="single" w:color="auto" w:sz="4" w:space="0"/>
              <w:left w:val="single" w:color="auto" w:sz="4" w:space="0"/>
              <w:right w:val="single" w:color="auto" w:sz="4" w:space="0"/>
            </w:tcBorders>
            <w:vAlign w:val="center"/>
          </w:tcPr>
          <w:p>
            <w:pPr>
              <w:spacing w:line="0" w:lineRule="atLeas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具有明确的售后服务方案，服务要求、服务体系、服务方式等清晰合理，能明确具体的服务响应时间的得</w:t>
            </w:r>
            <w:r>
              <w:rPr>
                <w:rFonts w:ascii="宋体" w:hAnsi="宋体" w:eastAsia="宋体" w:cs="宋体"/>
                <w:color w:val="000000" w:themeColor="text1"/>
                <w:szCs w:val="21"/>
                <w14:textFill>
                  <w14:solidFill>
                    <w14:schemeClr w14:val="tx1"/>
                  </w14:solidFill>
                </w14:textFill>
              </w:rPr>
              <w:t>3-5</w:t>
            </w:r>
            <w:r>
              <w:rPr>
                <w:rFonts w:hint="eastAsia" w:ascii="宋体" w:hAnsi="宋体" w:eastAsia="宋体" w:cs="宋体"/>
                <w:color w:val="000000" w:themeColor="text1"/>
                <w:szCs w:val="21"/>
                <w14:textFill>
                  <w14:solidFill>
                    <w14:schemeClr w14:val="tx1"/>
                  </w14:solidFill>
                </w14:textFill>
              </w:rPr>
              <w:t>分，售后服务方案一般的得</w:t>
            </w:r>
            <w:r>
              <w:rPr>
                <w:rFonts w:ascii="宋体" w:hAnsi="宋体" w:eastAsia="宋体" w:cs="宋体"/>
                <w:color w:val="000000" w:themeColor="text1"/>
                <w:szCs w:val="21"/>
                <w14:textFill>
                  <w14:solidFill>
                    <w14:schemeClr w14:val="tx1"/>
                  </w14:solidFill>
                </w14:textFill>
              </w:rPr>
              <w:t>1-2</w:t>
            </w:r>
            <w:r>
              <w:rPr>
                <w:rFonts w:hint="eastAsia" w:ascii="宋体" w:hAnsi="宋体" w:eastAsia="宋体" w:cs="宋体"/>
                <w:color w:val="000000" w:themeColor="text1"/>
                <w:szCs w:val="21"/>
                <w14:textFill>
                  <w14:solidFill>
                    <w14:schemeClr w14:val="tx1"/>
                  </w14:solidFill>
                </w14:textFill>
              </w:rPr>
              <w:t>分，未提供不得分。</w:t>
            </w:r>
          </w:p>
        </w:tc>
        <w:tc>
          <w:tcPr>
            <w:tcW w:w="914" w:type="dxa"/>
            <w:tcBorders>
              <w:top w:val="single" w:color="auto" w:sz="4" w:space="0"/>
              <w:left w:val="single" w:color="auto" w:sz="4" w:space="0"/>
              <w:right w:val="single" w:color="auto" w:sz="4" w:space="0"/>
            </w:tcBorders>
            <w:vAlign w:val="center"/>
          </w:tcPr>
          <w:p>
            <w:pPr>
              <w:spacing w:line="0" w:lineRule="atLeast"/>
              <w:jc w:val="center"/>
              <w:rPr>
                <w:szCs w:val="21"/>
              </w:rPr>
            </w:pPr>
            <w:r>
              <w:rPr>
                <w:rFonts w:hint="eastAsia"/>
                <w:szCs w:val="21"/>
              </w:rPr>
              <w:t>5</w:t>
            </w:r>
          </w:p>
        </w:tc>
      </w:tr>
    </w:tbl>
    <w:p>
      <w:pPr>
        <w:spacing w:line="320" w:lineRule="exact"/>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bookmarkStart w:id="24" w:name="_GoBack"/>
      <w:bookmarkEnd w:id="24"/>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hint="eastAsia"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采购项目名称：泰州市政务服务一体化支撑平台</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（统一电子印章系统）运维服务</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w:t>
      </w:r>
      <w:r>
        <w:rPr>
          <w:rFonts w:ascii="Times New Roman" w:hAnsi="Times New Roman" w:eastAsia="黑体"/>
          <w:bCs/>
          <w:color w:val="000000" w:themeColor="text1"/>
          <w:sz w:val="36"/>
          <w:szCs w:val="36"/>
          <w14:textFill>
            <w14:solidFill>
              <w14:schemeClr w14:val="tx1"/>
            </w14:solidFill>
          </w14:textFill>
        </w:rPr>
        <w:t>2</w:t>
      </w:r>
      <w:r>
        <w:rPr>
          <w:rFonts w:hint="eastAsia" w:ascii="Times New Roman" w:hAnsi="Times New Roman" w:eastAsia="黑体"/>
          <w:bCs/>
          <w:color w:val="000000" w:themeColor="text1"/>
          <w:sz w:val="36"/>
          <w:szCs w:val="36"/>
          <w14:textFill>
            <w14:solidFill>
              <w14:schemeClr w14:val="tx1"/>
            </w14:solidFill>
          </w14:textFill>
        </w:rPr>
        <w:t>3年  月  日</w:t>
      </w:r>
    </w:p>
    <w:p>
      <w:pPr>
        <w:outlineLvl w:val="1"/>
        <w:rPr>
          <w:rFonts w:ascii="黑体" w:hAnsi="黑体" w:eastAsia="黑体" w:cs="黑体"/>
          <w:bCs/>
          <w:color w:val="000000" w:themeColor="text1"/>
          <w:sz w:val="24"/>
          <w:szCs w:val="24"/>
          <w14:textFill>
            <w14:solidFill>
              <w14:schemeClr w14:val="tx1"/>
            </w14:solidFill>
          </w14:textFill>
        </w:rPr>
      </w:pPr>
      <w:bookmarkStart w:id="9"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9"/>
    </w:p>
    <w:p>
      <w:pPr>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3"/>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3"/>
        </w:numPr>
        <w:tabs>
          <w:tab w:val="left" w:pos="0"/>
          <w:tab w:val="left" w:pos="315"/>
          <w:tab w:val="left" w:pos="525"/>
          <w:tab w:val="left" w:pos="840"/>
          <w:tab w:val="left" w:pos="945"/>
          <w:tab w:val="left" w:pos="1050"/>
        </w:tabs>
        <w:spacing w:line="360" w:lineRule="auto"/>
        <w:ind w:left="0" w:firstLine="523" w:firstLineChars="218"/>
        <w:rPr>
          <w:rStyle w:val="12"/>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3"/>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3"/>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1"/>
        <w:rPr>
          <w:rFonts w:ascii="黑体" w:hAnsi="黑体" w:eastAsia="黑体" w:cs="黑体"/>
          <w:bCs/>
          <w:color w:val="000000" w:themeColor="text1"/>
          <w:sz w:val="28"/>
          <w:szCs w:val="28"/>
          <w14:textFill>
            <w14:solidFill>
              <w14:schemeClr w14:val="tx1"/>
            </w14:solidFill>
          </w14:textFill>
        </w:rPr>
      </w:pPr>
      <w:bookmarkStart w:id="10"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10"/>
    </w:p>
    <w:p>
      <w:pPr>
        <w:spacing w:line="360" w:lineRule="auto"/>
        <w:rPr>
          <w:rFonts w:ascii="黑体" w:hAnsi="黑体" w:eastAsia="黑体" w:cs="黑体"/>
          <w:bCs/>
          <w:color w:val="000000" w:themeColor="text1"/>
          <w:sz w:val="36"/>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1"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1"/>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2"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2"/>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3"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3"/>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r>
        <w:rPr>
          <w:rFonts w:ascii="黑体" w:hAnsi="黑体" w:eastAsia="黑体" w:cs="黑体"/>
          <w:bCs/>
          <w:color w:val="000000" w:themeColor="text1"/>
          <w:sz w:val="24"/>
          <w:szCs w:val="24"/>
          <w14:textFill>
            <w14:solidFill>
              <w14:schemeClr w14:val="tx1"/>
            </w14:solidFill>
          </w14:textFill>
        </w:rPr>
        <w:t>XXX</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14"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4"/>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5" w:name="_Toc534555668"/>
    </w:p>
    <w:p>
      <w:pPr>
        <w:ind w:firstLine="420" w:firstLineChars="175"/>
        <w:outlineLvl w:val="1"/>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5"/>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对本项目（XXX）所提供的货物均为原厂全新合格品；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fldChar w:fldCharType="begin"/>
      </w:r>
      <w:r>
        <w:instrText xml:space="preserve"> HYPERLINK "http://www.creditchina.gov.cn" </w:instrText>
      </w:r>
      <w:r>
        <w:fldChar w:fldCharType="separate"/>
      </w:r>
      <w:r>
        <w:rPr>
          <w:rStyle w:val="13"/>
          <w:rFonts w:hint="eastAsia" w:ascii="黑体" w:hAnsi="黑体" w:eastAsia="黑体" w:cs="黑体"/>
          <w:bCs/>
          <w:color w:val="000000" w:themeColor="text1"/>
          <w:sz w:val="24"/>
          <w:szCs w:val="24"/>
          <w14:textFill>
            <w14:solidFill>
              <w14:schemeClr w14:val="tx1"/>
            </w14:solidFill>
          </w14:textFill>
        </w:rPr>
        <w:t>www.creditchina.gov.cn</w:t>
      </w:r>
      <w:r>
        <w:rPr>
          <w:rStyle w:val="13"/>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bookmarkStart w:id="16"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6"/>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7"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7"/>
      <w:r>
        <w:rPr>
          <w:rFonts w:hint="eastAsia" w:ascii="黑体" w:hAnsi="黑体" w:eastAsia="黑体" w:cs="黑体"/>
          <w:bCs/>
          <w:color w:val="000000" w:themeColor="text1"/>
          <w:sz w:val="28"/>
          <w:szCs w:val="28"/>
          <w14:textFill>
            <w14:solidFill>
              <w14:schemeClr w14:val="tx1"/>
            </w14:solidFill>
          </w14:textFill>
        </w:rPr>
        <w:t xml:space="preserve"> </w:t>
      </w:r>
    </w:p>
    <w:p>
      <w:pPr>
        <w:jc w:val="center"/>
        <w:rPr>
          <w:rFonts w:ascii="黑体" w:hAnsi="黑体" w:eastAsia="黑体" w:cs="黑体"/>
          <w:bCs/>
          <w:color w:val="000000" w:themeColor="text1"/>
          <w:sz w:val="28"/>
          <w:szCs w:val="28"/>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4"/>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泰州市政务服务一体化支撑平台（统一电子印章系统）运维服务</w:t>
            </w:r>
          </w:p>
        </w:tc>
        <w:tc>
          <w:tcPr>
            <w:tcW w:w="4515" w:type="dxa"/>
            <w:tcBorders>
              <w:top w:val="single" w:color="auto" w:sz="4" w:space="0"/>
              <w:left w:val="single" w:color="auto" w:sz="4" w:space="0"/>
              <w:bottom w:val="single" w:color="auto" w:sz="4" w:space="0"/>
              <w:right w:val="single" w:color="auto" w:sz="4" w:space="0"/>
            </w:tcBorders>
            <w:vAlign w:val="center"/>
          </w:tcPr>
          <w:p>
            <w:pPr>
              <w:pStyle w:val="14"/>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8"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8"/>
    </w:p>
    <w:p>
      <w:pPr>
        <w:spacing w:line="400" w:lineRule="exact"/>
        <w:jc w:val="center"/>
        <w:rPr>
          <w:rFonts w:ascii="黑体" w:hAnsi="黑体" w:eastAsia="黑体" w:cs="黑体"/>
          <w:bCs/>
          <w:color w:val="000000" w:themeColor="text1"/>
          <w:sz w:val="28"/>
          <w:szCs w:val="28"/>
          <w14:textFill>
            <w14:solidFill>
              <w14:schemeClr w14:val="tx1"/>
            </w14:solidFill>
          </w14:textFill>
        </w:rPr>
      </w:pPr>
      <w:bookmarkStart w:id="19" w:name="_Toc534555672"/>
    </w:p>
    <w:p>
      <w:pPr>
        <w:spacing w:line="400" w:lineRule="exact"/>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明细报价表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846"/>
        <w:gridCol w:w="146"/>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5240"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4540"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rPr>
          <w:rFonts w:ascii="黑体" w:hAnsi="黑体" w:eastAsia="黑体" w:cs="黑体"/>
          <w:bCs/>
          <w:color w:val="000000" w:themeColor="text1"/>
          <w:sz w:val="28"/>
          <w:szCs w:val="28"/>
          <w14:textFill>
            <w14:solidFill>
              <w14:schemeClr w14:val="tx1"/>
            </w14:solidFill>
          </w14:textFill>
        </w:rPr>
      </w:pPr>
      <w:bookmarkStart w:id="20" w:name="_Toc534555673"/>
    </w:p>
    <w:p>
      <w:pPr>
        <w:spacing w:line="400" w:lineRule="exact"/>
        <w:jc w:val="center"/>
        <w:outlineLvl w:val="1"/>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（八）采购需求响应表</w:t>
      </w:r>
      <w:bookmarkEnd w:id="20"/>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9"/>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7"/>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rPr>
          <w:rFonts w:ascii="黑体" w:hAnsi="黑体" w:eastAsia="黑体" w:cs="黑体"/>
          <w:bCs/>
          <w:color w:val="000000" w:themeColor="text1"/>
          <w:szCs w:val="21"/>
          <w14:textFill>
            <w14:solidFill>
              <w14:schemeClr w14:val="tx1"/>
            </w14:solidFill>
          </w14:textFill>
        </w:rPr>
      </w:pPr>
      <w:bookmarkStart w:id="21"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1"/>
    </w:p>
    <w:p>
      <w:pPr>
        <w:spacing w:line="400" w:lineRule="exact"/>
        <w:rPr>
          <w:rFonts w:ascii="黑体" w:hAnsi="黑体" w:eastAsia="黑体" w:cs="黑体"/>
          <w:bCs/>
          <w:color w:val="000000" w:themeColor="text1"/>
          <w:szCs w:val="21"/>
          <w14:textFill>
            <w14:solidFill>
              <w14:schemeClr w14:val="tx1"/>
            </w14:solidFill>
          </w14:textFill>
        </w:rPr>
      </w:pPr>
      <w:bookmarkStart w:id="22"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2"/>
    </w:p>
    <w:p>
      <w:pPr>
        <w:spacing w:line="400" w:lineRule="exact"/>
        <w:rPr>
          <w:rFonts w:ascii="黑体" w:hAnsi="黑体" w:eastAsia="黑体" w:cs="黑体"/>
          <w:color w:val="000000" w:themeColor="text1"/>
          <w14:textFill>
            <w14:solidFill>
              <w14:schemeClr w14:val="tx1"/>
            </w14:solidFill>
          </w14:textFill>
        </w:rPr>
      </w:pPr>
      <w:bookmarkStart w:id="23"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3"/>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ΟGB2312">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3C5D8"/>
    <w:multiLevelType w:val="singleLevel"/>
    <w:tmpl w:val="C7D3C5D8"/>
    <w:lvl w:ilvl="0" w:tentative="0">
      <w:start w:val="2"/>
      <w:numFmt w:val="decimal"/>
      <w:suff w:val="nothing"/>
      <w:lvlText w:val="%1、"/>
      <w:lvlJc w:val="left"/>
    </w:lvl>
  </w:abstractNum>
  <w:abstractNum w:abstractNumId="1">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xNmRhODIyNjBmOTI2ODNhOGY4ZjFlYzkxMTk2ODcifQ=="/>
  </w:docVars>
  <w:rsids>
    <w:rsidRoot w:val="2BAE7DC9"/>
    <w:rsid w:val="00044E47"/>
    <w:rsid w:val="000650FB"/>
    <w:rsid w:val="0011252B"/>
    <w:rsid w:val="00133387"/>
    <w:rsid w:val="00141EA5"/>
    <w:rsid w:val="00172BED"/>
    <w:rsid w:val="00204EB0"/>
    <w:rsid w:val="00232617"/>
    <w:rsid w:val="00292B47"/>
    <w:rsid w:val="002E14C6"/>
    <w:rsid w:val="00311CE4"/>
    <w:rsid w:val="00330DF8"/>
    <w:rsid w:val="003D138F"/>
    <w:rsid w:val="00475F91"/>
    <w:rsid w:val="004F5124"/>
    <w:rsid w:val="00763F98"/>
    <w:rsid w:val="007A778C"/>
    <w:rsid w:val="007E2EF7"/>
    <w:rsid w:val="00832B93"/>
    <w:rsid w:val="008A483A"/>
    <w:rsid w:val="008B3073"/>
    <w:rsid w:val="008D44EE"/>
    <w:rsid w:val="00972EE5"/>
    <w:rsid w:val="00A861BE"/>
    <w:rsid w:val="00AA3B88"/>
    <w:rsid w:val="00B0389F"/>
    <w:rsid w:val="00B44849"/>
    <w:rsid w:val="00BA17B4"/>
    <w:rsid w:val="00BB4BAD"/>
    <w:rsid w:val="00C42075"/>
    <w:rsid w:val="00D41ABF"/>
    <w:rsid w:val="010603B8"/>
    <w:rsid w:val="012375FA"/>
    <w:rsid w:val="01487061"/>
    <w:rsid w:val="01A47274"/>
    <w:rsid w:val="01B43460"/>
    <w:rsid w:val="01BA61B0"/>
    <w:rsid w:val="01DD6B8E"/>
    <w:rsid w:val="01FF774D"/>
    <w:rsid w:val="021C0046"/>
    <w:rsid w:val="02600065"/>
    <w:rsid w:val="02916808"/>
    <w:rsid w:val="02933CF1"/>
    <w:rsid w:val="029F7154"/>
    <w:rsid w:val="02AA088B"/>
    <w:rsid w:val="02D74B40"/>
    <w:rsid w:val="03532830"/>
    <w:rsid w:val="03741E07"/>
    <w:rsid w:val="038B57F0"/>
    <w:rsid w:val="038C6E0E"/>
    <w:rsid w:val="03913842"/>
    <w:rsid w:val="03C350C4"/>
    <w:rsid w:val="04610B65"/>
    <w:rsid w:val="04A24874"/>
    <w:rsid w:val="04E549D9"/>
    <w:rsid w:val="04F00CE2"/>
    <w:rsid w:val="05180BF9"/>
    <w:rsid w:val="05423654"/>
    <w:rsid w:val="055F2BCB"/>
    <w:rsid w:val="05BE41B0"/>
    <w:rsid w:val="05D9472B"/>
    <w:rsid w:val="061614DB"/>
    <w:rsid w:val="0653437F"/>
    <w:rsid w:val="06F60EEA"/>
    <w:rsid w:val="06FE3AD0"/>
    <w:rsid w:val="0717563C"/>
    <w:rsid w:val="07305D00"/>
    <w:rsid w:val="077B7867"/>
    <w:rsid w:val="07DC6755"/>
    <w:rsid w:val="08176F8E"/>
    <w:rsid w:val="08547E6E"/>
    <w:rsid w:val="08806BF3"/>
    <w:rsid w:val="088A442E"/>
    <w:rsid w:val="08BC37E6"/>
    <w:rsid w:val="08F9299B"/>
    <w:rsid w:val="09257BCC"/>
    <w:rsid w:val="094620D8"/>
    <w:rsid w:val="098C6266"/>
    <w:rsid w:val="09EB2527"/>
    <w:rsid w:val="09F3749B"/>
    <w:rsid w:val="0A6B1393"/>
    <w:rsid w:val="0A99092D"/>
    <w:rsid w:val="0ACC61C5"/>
    <w:rsid w:val="0B022976"/>
    <w:rsid w:val="0B07436C"/>
    <w:rsid w:val="0B136931"/>
    <w:rsid w:val="0B30303F"/>
    <w:rsid w:val="0B317C40"/>
    <w:rsid w:val="0B6F669C"/>
    <w:rsid w:val="0BED6D00"/>
    <w:rsid w:val="0C0F52A2"/>
    <w:rsid w:val="0C1D2948"/>
    <w:rsid w:val="0C6C62F9"/>
    <w:rsid w:val="0CFF0F1B"/>
    <w:rsid w:val="0DB5782C"/>
    <w:rsid w:val="0DC669D4"/>
    <w:rsid w:val="0DCA452C"/>
    <w:rsid w:val="0E09687B"/>
    <w:rsid w:val="0E53141C"/>
    <w:rsid w:val="0EA978B3"/>
    <w:rsid w:val="0EAB3E35"/>
    <w:rsid w:val="0EDF3D95"/>
    <w:rsid w:val="0F2774C7"/>
    <w:rsid w:val="0F3A4205"/>
    <w:rsid w:val="0F5336EF"/>
    <w:rsid w:val="0FD77F2D"/>
    <w:rsid w:val="0FE54F1B"/>
    <w:rsid w:val="0FF4037D"/>
    <w:rsid w:val="0FFE195E"/>
    <w:rsid w:val="0FFF39C6"/>
    <w:rsid w:val="10035C53"/>
    <w:rsid w:val="10455129"/>
    <w:rsid w:val="10802373"/>
    <w:rsid w:val="10DD30C0"/>
    <w:rsid w:val="11321CCC"/>
    <w:rsid w:val="11496C09"/>
    <w:rsid w:val="116C28F7"/>
    <w:rsid w:val="1202426A"/>
    <w:rsid w:val="121A05A5"/>
    <w:rsid w:val="12352A26"/>
    <w:rsid w:val="1285104A"/>
    <w:rsid w:val="12961C7E"/>
    <w:rsid w:val="12D7480E"/>
    <w:rsid w:val="134753CA"/>
    <w:rsid w:val="13702B73"/>
    <w:rsid w:val="13A03FDE"/>
    <w:rsid w:val="13B16579"/>
    <w:rsid w:val="13D12903"/>
    <w:rsid w:val="13EE0BF5"/>
    <w:rsid w:val="13F76773"/>
    <w:rsid w:val="141D25CF"/>
    <w:rsid w:val="143407DB"/>
    <w:rsid w:val="14425B91"/>
    <w:rsid w:val="1514752E"/>
    <w:rsid w:val="152E1DCE"/>
    <w:rsid w:val="161727D9"/>
    <w:rsid w:val="164646ED"/>
    <w:rsid w:val="1653052A"/>
    <w:rsid w:val="16973B64"/>
    <w:rsid w:val="16A3500D"/>
    <w:rsid w:val="177607DB"/>
    <w:rsid w:val="17DF4208"/>
    <w:rsid w:val="17E70F2A"/>
    <w:rsid w:val="182C1AE5"/>
    <w:rsid w:val="18381785"/>
    <w:rsid w:val="184A3F75"/>
    <w:rsid w:val="185145F5"/>
    <w:rsid w:val="187A755D"/>
    <w:rsid w:val="18831D69"/>
    <w:rsid w:val="188B1D38"/>
    <w:rsid w:val="18BC4164"/>
    <w:rsid w:val="18CD6858"/>
    <w:rsid w:val="18DB4B3E"/>
    <w:rsid w:val="194902DE"/>
    <w:rsid w:val="196E143D"/>
    <w:rsid w:val="196E54EF"/>
    <w:rsid w:val="199A1428"/>
    <w:rsid w:val="19AC70AA"/>
    <w:rsid w:val="19BA1A34"/>
    <w:rsid w:val="19D1529B"/>
    <w:rsid w:val="1A0A0EFF"/>
    <w:rsid w:val="1A4033B9"/>
    <w:rsid w:val="1A5C0D03"/>
    <w:rsid w:val="1A727520"/>
    <w:rsid w:val="1A9C424D"/>
    <w:rsid w:val="1B0F559D"/>
    <w:rsid w:val="1B7F6525"/>
    <w:rsid w:val="1BC44B51"/>
    <w:rsid w:val="1BC473FC"/>
    <w:rsid w:val="1BCC313F"/>
    <w:rsid w:val="1C2063A2"/>
    <w:rsid w:val="1C8E6AFB"/>
    <w:rsid w:val="1C8E7BC6"/>
    <w:rsid w:val="1CBB4733"/>
    <w:rsid w:val="1D122806"/>
    <w:rsid w:val="1D347041"/>
    <w:rsid w:val="1D3F17D1"/>
    <w:rsid w:val="1D970B80"/>
    <w:rsid w:val="1D9F21EE"/>
    <w:rsid w:val="1DA33B45"/>
    <w:rsid w:val="1DAD449C"/>
    <w:rsid w:val="1DD27F86"/>
    <w:rsid w:val="1DD41F50"/>
    <w:rsid w:val="1DE63A32"/>
    <w:rsid w:val="1DEC54EC"/>
    <w:rsid w:val="1E4A3FC0"/>
    <w:rsid w:val="1E4F3472"/>
    <w:rsid w:val="1EB7078B"/>
    <w:rsid w:val="1F001448"/>
    <w:rsid w:val="1F09438B"/>
    <w:rsid w:val="1F666BD8"/>
    <w:rsid w:val="20355085"/>
    <w:rsid w:val="2059673D"/>
    <w:rsid w:val="20901FD7"/>
    <w:rsid w:val="20A27562"/>
    <w:rsid w:val="20AC7BD8"/>
    <w:rsid w:val="20BC230A"/>
    <w:rsid w:val="20E95D13"/>
    <w:rsid w:val="218D705C"/>
    <w:rsid w:val="21CC1459"/>
    <w:rsid w:val="21D8575E"/>
    <w:rsid w:val="2207096E"/>
    <w:rsid w:val="22486A69"/>
    <w:rsid w:val="224C47AB"/>
    <w:rsid w:val="225E44DE"/>
    <w:rsid w:val="2299783B"/>
    <w:rsid w:val="22BA120B"/>
    <w:rsid w:val="22BF31CF"/>
    <w:rsid w:val="22CF0F38"/>
    <w:rsid w:val="22E84D8D"/>
    <w:rsid w:val="233A2407"/>
    <w:rsid w:val="2383154E"/>
    <w:rsid w:val="23860C42"/>
    <w:rsid w:val="239E5047"/>
    <w:rsid w:val="23BC3C16"/>
    <w:rsid w:val="23D94EDC"/>
    <w:rsid w:val="24845DF0"/>
    <w:rsid w:val="256A49D2"/>
    <w:rsid w:val="26084E8D"/>
    <w:rsid w:val="261C4494"/>
    <w:rsid w:val="26293F40"/>
    <w:rsid w:val="266A01AB"/>
    <w:rsid w:val="268A3AF4"/>
    <w:rsid w:val="26901106"/>
    <w:rsid w:val="26DF400F"/>
    <w:rsid w:val="274574A6"/>
    <w:rsid w:val="274640EA"/>
    <w:rsid w:val="27873B8F"/>
    <w:rsid w:val="27B84691"/>
    <w:rsid w:val="27C60B5C"/>
    <w:rsid w:val="27F85949"/>
    <w:rsid w:val="280067DF"/>
    <w:rsid w:val="28013942"/>
    <w:rsid w:val="28136AB9"/>
    <w:rsid w:val="283E401C"/>
    <w:rsid w:val="28682FE3"/>
    <w:rsid w:val="291D0C4F"/>
    <w:rsid w:val="291E49C7"/>
    <w:rsid w:val="294E705B"/>
    <w:rsid w:val="29891E41"/>
    <w:rsid w:val="299B3862"/>
    <w:rsid w:val="29FD282F"/>
    <w:rsid w:val="2A124972"/>
    <w:rsid w:val="2A253741"/>
    <w:rsid w:val="2A4346E5"/>
    <w:rsid w:val="2A617E81"/>
    <w:rsid w:val="2A8B1BE9"/>
    <w:rsid w:val="2AA7448F"/>
    <w:rsid w:val="2ABB4970"/>
    <w:rsid w:val="2AD96DF8"/>
    <w:rsid w:val="2AED0E83"/>
    <w:rsid w:val="2B0D0850"/>
    <w:rsid w:val="2B113A97"/>
    <w:rsid w:val="2B1E480B"/>
    <w:rsid w:val="2B2006FF"/>
    <w:rsid w:val="2B7E174D"/>
    <w:rsid w:val="2BAE7DC9"/>
    <w:rsid w:val="2BE53280"/>
    <w:rsid w:val="2C424529"/>
    <w:rsid w:val="2C5D2581"/>
    <w:rsid w:val="2CEC4BBA"/>
    <w:rsid w:val="2D001B1A"/>
    <w:rsid w:val="2D530423"/>
    <w:rsid w:val="2D5F08EF"/>
    <w:rsid w:val="2D6F31C0"/>
    <w:rsid w:val="2E093550"/>
    <w:rsid w:val="2EA342C1"/>
    <w:rsid w:val="2EA634DC"/>
    <w:rsid w:val="2EBD369F"/>
    <w:rsid w:val="2ED20AEB"/>
    <w:rsid w:val="2F5B602D"/>
    <w:rsid w:val="2FAA7085"/>
    <w:rsid w:val="301E1907"/>
    <w:rsid w:val="30240B15"/>
    <w:rsid w:val="30AC568D"/>
    <w:rsid w:val="30AD35D4"/>
    <w:rsid w:val="30C27406"/>
    <w:rsid w:val="30DA71DA"/>
    <w:rsid w:val="30E5758C"/>
    <w:rsid w:val="30E87D95"/>
    <w:rsid w:val="31093867"/>
    <w:rsid w:val="31097137"/>
    <w:rsid w:val="313461DC"/>
    <w:rsid w:val="313528AE"/>
    <w:rsid w:val="315C7ECA"/>
    <w:rsid w:val="3167733C"/>
    <w:rsid w:val="3173124F"/>
    <w:rsid w:val="31CA1248"/>
    <w:rsid w:val="31EE1FB8"/>
    <w:rsid w:val="31F86124"/>
    <w:rsid w:val="326A2A2B"/>
    <w:rsid w:val="32AC4DF2"/>
    <w:rsid w:val="32B81199"/>
    <w:rsid w:val="330C4BDB"/>
    <w:rsid w:val="339E2391"/>
    <w:rsid w:val="33A2516B"/>
    <w:rsid w:val="33A92693"/>
    <w:rsid w:val="33C63297"/>
    <w:rsid w:val="3420663B"/>
    <w:rsid w:val="342B6450"/>
    <w:rsid w:val="344A16FB"/>
    <w:rsid w:val="34C53F49"/>
    <w:rsid w:val="34E02B31"/>
    <w:rsid w:val="34E22D4D"/>
    <w:rsid w:val="35432EF2"/>
    <w:rsid w:val="3569358A"/>
    <w:rsid w:val="359E6C74"/>
    <w:rsid w:val="35CE72AF"/>
    <w:rsid w:val="361531EB"/>
    <w:rsid w:val="36462ACF"/>
    <w:rsid w:val="36767802"/>
    <w:rsid w:val="36CE44BD"/>
    <w:rsid w:val="3713385A"/>
    <w:rsid w:val="374F56CD"/>
    <w:rsid w:val="37585548"/>
    <w:rsid w:val="379239EA"/>
    <w:rsid w:val="37B00EE0"/>
    <w:rsid w:val="37FC5A23"/>
    <w:rsid w:val="387939C8"/>
    <w:rsid w:val="391E03F5"/>
    <w:rsid w:val="392C27E9"/>
    <w:rsid w:val="39316051"/>
    <w:rsid w:val="39CA2BC5"/>
    <w:rsid w:val="39FE23D7"/>
    <w:rsid w:val="3A2D6C50"/>
    <w:rsid w:val="3A766297"/>
    <w:rsid w:val="3AF86E26"/>
    <w:rsid w:val="3AFC42C0"/>
    <w:rsid w:val="3B2F16B7"/>
    <w:rsid w:val="3B64270E"/>
    <w:rsid w:val="3BA00212"/>
    <w:rsid w:val="3BB40C45"/>
    <w:rsid w:val="3BBB240E"/>
    <w:rsid w:val="3BC839CB"/>
    <w:rsid w:val="3BCD02B3"/>
    <w:rsid w:val="3BE42C77"/>
    <w:rsid w:val="3BFF5F92"/>
    <w:rsid w:val="3C4A1903"/>
    <w:rsid w:val="3C8F071A"/>
    <w:rsid w:val="3C940F04"/>
    <w:rsid w:val="3D1A67AD"/>
    <w:rsid w:val="3D1C245F"/>
    <w:rsid w:val="3D2D6B2F"/>
    <w:rsid w:val="3D4C14DA"/>
    <w:rsid w:val="3DAA67EA"/>
    <w:rsid w:val="3DAC37A6"/>
    <w:rsid w:val="3DFE4381"/>
    <w:rsid w:val="3E35213F"/>
    <w:rsid w:val="3E927592"/>
    <w:rsid w:val="3F2F723D"/>
    <w:rsid w:val="3F86126B"/>
    <w:rsid w:val="3F8805CA"/>
    <w:rsid w:val="3FAF7CCF"/>
    <w:rsid w:val="403A1C8F"/>
    <w:rsid w:val="4057639D"/>
    <w:rsid w:val="40C66D7C"/>
    <w:rsid w:val="40C87E01"/>
    <w:rsid w:val="40CD7D8B"/>
    <w:rsid w:val="40D03CF0"/>
    <w:rsid w:val="4162566B"/>
    <w:rsid w:val="417E5BAB"/>
    <w:rsid w:val="419569C9"/>
    <w:rsid w:val="41A3367B"/>
    <w:rsid w:val="41B93D8E"/>
    <w:rsid w:val="42E324BF"/>
    <w:rsid w:val="43095949"/>
    <w:rsid w:val="43374264"/>
    <w:rsid w:val="435272F0"/>
    <w:rsid w:val="43B32386"/>
    <w:rsid w:val="43FC0159"/>
    <w:rsid w:val="445A54A3"/>
    <w:rsid w:val="446E5ABA"/>
    <w:rsid w:val="448E27E0"/>
    <w:rsid w:val="44A010D3"/>
    <w:rsid w:val="44C63EF6"/>
    <w:rsid w:val="450F2F4D"/>
    <w:rsid w:val="4521341D"/>
    <w:rsid w:val="455C02BA"/>
    <w:rsid w:val="45974534"/>
    <w:rsid w:val="460778FA"/>
    <w:rsid w:val="46157DE1"/>
    <w:rsid w:val="46390A32"/>
    <w:rsid w:val="46BB51AC"/>
    <w:rsid w:val="47BB36B5"/>
    <w:rsid w:val="47C17695"/>
    <w:rsid w:val="47E250E6"/>
    <w:rsid w:val="48142DC6"/>
    <w:rsid w:val="48254FD3"/>
    <w:rsid w:val="482853D0"/>
    <w:rsid w:val="484130D8"/>
    <w:rsid w:val="487B2E45"/>
    <w:rsid w:val="488419C4"/>
    <w:rsid w:val="48B53D5E"/>
    <w:rsid w:val="48BA7693"/>
    <w:rsid w:val="48E1614C"/>
    <w:rsid w:val="49463453"/>
    <w:rsid w:val="495D2A63"/>
    <w:rsid w:val="4962490E"/>
    <w:rsid w:val="49647D7D"/>
    <w:rsid w:val="49C21F60"/>
    <w:rsid w:val="49F7299F"/>
    <w:rsid w:val="4A2B46A6"/>
    <w:rsid w:val="4A43504F"/>
    <w:rsid w:val="4A77471A"/>
    <w:rsid w:val="4A8325B4"/>
    <w:rsid w:val="4A843E98"/>
    <w:rsid w:val="4AFD3FE5"/>
    <w:rsid w:val="4B2F5D46"/>
    <w:rsid w:val="4BAB57EF"/>
    <w:rsid w:val="4C462B7D"/>
    <w:rsid w:val="4C653FA5"/>
    <w:rsid w:val="4C7A2F8A"/>
    <w:rsid w:val="4C9452B1"/>
    <w:rsid w:val="4CB4602F"/>
    <w:rsid w:val="4CC0037C"/>
    <w:rsid w:val="4CF3001A"/>
    <w:rsid w:val="4CF46F70"/>
    <w:rsid w:val="4DA802B3"/>
    <w:rsid w:val="4DCA28A4"/>
    <w:rsid w:val="4DD116C7"/>
    <w:rsid w:val="4E013DEC"/>
    <w:rsid w:val="4E9632DF"/>
    <w:rsid w:val="4EB073B6"/>
    <w:rsid w:val="4EC67983"/>
    <w:rsid w:val="4EC866B8"/>
    <w:rsid w:val="4EE541A0"/>
    <w:rsid w:val="4EF63225"/>
    <w:rsid w:val="4FB335BE"/>
    <w:rsid w:val="50081462"/>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390153"/>
    <w:rsid w:val="57567E33"/>
    <w:rsid w:val="57935C2B"/>
    <w:rsid w:val="579B705F"/>
    <w:rsid w:val="57AE0B41"/>
    <w:rsid w:val="57C57028"/>
    <w:rsid w:val="57CC4E98"/>
    <w:rsid w:val="57E16138"/>
    <w:rsid w:val="580F5323"/>
    <w:rsid w:val="58331046"/>
    <w:rsid w:val="585B1535"/>
    <w:rsid w:val="586104BF"/>
    <w:rsid w:val="58815BB6"/>
    <w:rsid w:val="58F15E5A"/>
    <w:rsid w:val="591A6C49"/>
    <w:rsid w:val="59861649"/>
    <w:rsid w:val="5999137D"/>
    <w:rsid w:val="5A017314"/>
    <w:rsid w:val="5A0D0A2D"/>
    <w:rsid w:val="5A3918D1"/>
    <w:rsid w:val="5A5257C7"/>
    <w:rsid w:val="5A545413"/>
    <w:rsid w:val="5A912E85"/>
    <w:rsid w:val="5A9F4BAA"/>
    <w:rsid w:val="5AC2519E"/>
    <w:rsid w:val="5B114D75"/>
    <w:rsid w:val="5BA612DD"/>
    <w:rsid w:val="5BA65FD3"/>
    <w:rsid w:val="5BAC183B"/>
    <w:rsid w:val="5BE65BED"/>
    <w:rsid w:val="5C4F45D9"/>
    <w:rsid w:val="5C7435C7"/>
    <w:rsid w:val="5CB5143D"/>
    <w:rsid w:val="5CBD5382"/>
    <w:rsid w:val="5CFB2509"/>
    <w:rsid w:val="5D7C6FEB"/>
    <w:rsid w:val="5DCA3BC2"/>
    <w:rsid w:val="5DCD3D84"/>
    <w:rsid w:val="5E156CE8"/>
    <w:rsid w:val="5E714676"/>
    <w:rsid w:val="5E865978"/>
    <w:rsid w:val="5E9119B1"/>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3C1282"/>
    <w:rsid w:val="644D4E28"/>
    <w:rsid w:val="64793D54"/>
    <w:rsid w:val="64846AFF"/>
    <w:rsid w:val="65C8066C"/>
    <w:rsid w:val="65F2282A"/>
    <w:rsid w:val="66544FA9"/>
    <w:rsid w:val="665D0DC8"/>
    <w:rsid w:val="66753360"/>
    <w:rsid w:val="66F61BBC"/>
    <w:rsid w:val="670D06CD"/>
    <w:rsid w:val="672656D9"/>
    <w:rsid w:val="67565C7E"/>
    <w:rsid w:val="675954A1"/>
    <w:rsid w:val="67696832"/>
    <w:rsid w:val="67A46A60"/>
    <w:rsid w:val="67A665F9"/>
    <w:rsid w:val="67B05F5B"/>
    <w:rsid w:val="67D77C40"/>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9D65CD5"/>
    <w:rsid w:val="6A2904FB"/>
    <w:rsid w:val="6A2C1D99"/>
    <w:rsid w:val="6ADA4CF4"/>
    <w:rsid w:val="6B167C88"/>
    <w:rsid w:val="6B6C68F1"/>
    <w:rsid w:val="6BC50BD6"/>
    <w:rsid w:val="6BD74428"/>
    <w:rsid w:val="6C07486C"/>
    <w:rsid w:val="6CC44C93"/>
    <w:rsid w:val="6CFC5A53"/>
    <w:rsid w:val="6D4249BD"/>
    <w:rsid w:val="6D5239D7"/>
    <w:rsid w:val="6D8048D6"/>
    <w:rsid w:val="6DA73C10"/>
    <w:rsid w:val="6DD76181"/>
    <w:rsid w:val="6DF77C1C"/>
    <w:rsid w:val="6E0E3C8F"/>
    <w:rsid w:val="6E354F33"/>
    <w:rsid w:val="6E7837FF"/>
    <w:rsid w:val="6EF14DCE"/>
    <w:rsid w:val="6EF235B1"/>
    <w:rsid w:val="6F5002D8"/>
    <w:rsid w:val="6FCD69DE"/>
    <w:rsid w:val="6FF87AFB"/>
    <w:rsid w:val="700D38BA"/>
    <w:rsid w:val="702A75CC"/>
    <w:rsid w:val="70651E83"/>
    <w:rsid w:val="70D54F38"/>
    <w:rsid w:val="713C4FB8"/>
    <w:rsid w:val="71A05546"/>
    <w:rsid w:val="71AA5D0F"/>
    <w:rsid w:val="71E5623C"/>
    <w:rsid w:val="722E5CA0"/>
    <w:rsid w:val="724F304C"/>
    <w:rsid w:val="72593834"/>
    <w:rsid w:val="725B71E8"/>
    <w:rsid w:val="72A75159"/>
    <w:rsid w:val="73210070"/>
    <w:rsid w:val="73474106"/>
    <w:rsid w:val="738A025C"/>
    <w:rsid w:val="73F43927"/>
    <w:rsid w:val="748B40F7"/>
    <w:rsid w:val="74BD640F"/>
    <w:rsid w:val="758A339B"/>
    <w:rsid w:val="759060C1"/>
    <w:rsid w:val="75964A50"/>
    <w:rsid w:val="75C225F2"/>
    <w:rsid w:val="7625601A"/>
    <w:rsid w:val="76292D9B"/>
    <w:rsid w:val="76366479"/>
    <w:rsid w:val="763C15B6"/>
    <w:rsid w:val="76593F16"/>
    <w:rsid w:val="766C59F7"/>
    <w:rsid w:val="767C78F2"/>
    <w:rsid w:val="76A005BE"/>
    <w:rsid w:val="76C770D1"/>
    <w:rsid w:val="76D35A76"/>
    <w:rsid w:val="772E0EFE"/>
    <w:rsid w:val="7743072A"/>
    <w:rsid w:val="77541B63"/>
    <w:rsid w:val="7758279B"/>
    <w:rsid w:val="779D6084"/>
    <w:rsid w:val="779D7E32"/>
    <w:rsid w:val="77D31AA6"/>
    <w:rsid w:val="77E96D32"/>
    <w:rsid w:val="781406A8"/>
    <w:rsid w:val="782D565A"/>
    <w:rsid w:val="784547D6"/>
    <w:rsid w:val="78463A7B"/>
    <w:rsid w:val="789B408A"/>
    <w:rsid w:val="78D60608"/>
    <w:rsid w:val="78FB7506"/>
    <w:rsid w:val="793D7990"/>
    <w:rsid w:val="793F2F4F"/>
    <w:rsid w:val="795175A4"/>
    <w:rsid w:val="798B24E5"/>
    <w:rsid w:val="79CF4DFE"/>
    <w:rsid w:val="7A141D64"/>
    <w:rsid w:val="7A770D9F"/>
    <w:rsid w:val="7AB0596B"/>
    <w:rsid w:val="7AFB1A3F"/>
    <w:rsid w:val="7B0914F7"/>
    <w:rsid w:val="7B3D1E83"/>
    <w:rsid w:val="7B827A6B"/>
    <w:rsid w:val="7BC2430B"/>
    <w:rsid w:val="7BF137BA"/>
    <w:rsid w:val="7BF30969"/>
    <w:rsid w:val="7C1102ED"/>
    <w:rsid w:val="7C2428D0"/>
    <w:rsid w:val="7C4B2553"/>
    <w:rsid w:val="7CA23153"/>
    <w:rsid w:val="7CDF0622"/>
    <w:rsid w:val="7D032E2D"/>
    <w:rsid w:val="7D313E4E"/>
    <w:rsid w:val="7D3717EE"/>
    <w:rsid w:val="7D4626E5"/>
    <w:rsid w:val="7D4E3432"/>
    <w:rsid w:val="7D5907B2"/>
    <w:rsid w:val="7DA83819"/>
    <w:rsid w:val="7E2F7976"/>
    <w:rsid w:val="7E6C37DA"/>
    <w:rsid w:val="7E7F44AE"/>
    <w:rsid w:val="7ECC4309"/>
    <w:rsid w:val="7EE2719E"/>
    <w:rsid w:val="7F6E0A32"/>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4">
    <w:name w:val="caption"/>
    <w:basedOn w:val="1"/>
    <w:next w:val="5"/>
    <w:qFormat/>
    <w:uiPriority w:val="35"/>
    <w:pPr>
      <w:adjustRightInd w:val="0"/>
      <w:spacing w:after="60" w:line="200" w:lineRule="atLeast"/>
      <w:jc w:val="center"/>
    </w:pPr>
    <w:rPr>
      <w:rFonts w:ascii="Times New Roman" w:hAnsi="Times New Roman" w:eastAsia="仿宋_GB2312" w:cs="Times New Roman"/>
      <w:spacing w:val="5"/>
      <w:kern w:val="0"/>
      <w:szCs w:val="21"/>
    </w:rPr>
  </w:style>
  <w:style w:type="paragraph" w:styleId="5">
    <w:name w:val="Body Text"/>
    <w:basedOn w:val="1"/>
    <w:qFormat/>
    <w:uiPriority w:val="0"/>
    <w:pPr>
      <w:jc w:val="center"/>
    </w:pPr>
    <w:rPr>
      <w:rFonts w:eastAsia="仿宋_GB2312"/>
      <w:sz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widowControl/>
      <w:spacing w:before="100" w:beforeAutospacing="1" w:after="100" w:afterAutospacing="1"/>
      <w:jc w:val="left"/>
    </w:pPr>
    <w:rPr>
      <w:rFonts w:ascii="Arial Unicode MS" w:hAnsi="Arial Unicode MS" w:eastAsia="Times New Roman" w:cs="Times New Roman"/>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TML Typewriter"/>
    <w:qFormat/>
    <w:uiPriority w:val="0"/>
    <w:rPr>
      <w:rFonts w:ascii="宋体" w:hAnsi="宋体" w:eastAsia="宋体" w:cs="宋体"/>
      <w:sz w:val="24"/>
      <w:szCs w:val="24"/>
    </w:rPr>
  </w:style>
  <w:style w:type="character" w:styleId="13">
    <w:name w:val="Hyperlink"/>
    <w:unhideWhenUsed/>
    <w:qFormat/>
    <w:uiPriority w:val="99"/>
    <w:rPr>
      <w:color w:val="0000FF"/>
      <w:u w:val="single"/>
    </w:rPr>
  </w:style>
  <w:style w:type="paragraph" w:customStyle="1" w:styleId="14">
    <w:name w:val="普通文字"/>
    <w:basedOn w:val="1"/>
    <w:next w:val="1"/>
    <w:qFormat/>
    <w:uiPriority w:val="0"/>
    <w:rPr>
      <w:rFonts w:ascii="宋体" w:hAnsi="Times New Roman" w:eastAsia="宋体"/>
      <w:kern w:val="0"/>
      <w:sz w:val="24"/>
      <w:szCs w:val="20"/>
      <w:u w:color="000000"/>
    </w:rPr>
  </w:style>
  <w:style w:type="character" w:customStyle="1" w:styleId="15">
    <w:name w:val="font31"/>
    <w:basedOn w:val="11"/>
    <w:qFormat/>
    <w:uiPriority w:val="0"/>
    <w:rPr>
      <w:rFonts w:hint="eastAsia" w:ascii="宋体" w:hAnsi="宋体" w:eastAsia="宋体" w:cs="宋体"/>
      <w:color w:val="000000"/>
      <w:sz w:val="22"/>
      <w:szCs w:val="22"/>
      <w:u w:val="none"/>
    </w:rPr>
  </w:style>
  <w:style w:type="paragraph" w:customStyle="1" w:styleId="16">
    <w:name w:val="HPC正文"/>
    <w:basedOn w:val="1"/>
    <w:qFormat/>
    <w:uiPriority w:val="0"/>
    <w:pPr>
      <w:spacing w:line="360" w:lineRule="auto"/>
      <w:ind w:firstLine="424" w:firstLineChars="202"/>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14680</Words>
  <Characters>15211</Characters>
  <Lines>107</Lines>
  <Paragraphs>30</Paragraphs>
  <TotalTime>42</TotalTime>
  <ScaleCrop>false</ScaleCrop>
  <LinksUpToDate>false</LinksUpToDate>
  <CharactersWithSpaces>15836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2023-06-26T09:50:00Z</dcterms:created>
  <dc:creator>永乐</dc:creator>
  <cp:lastModifiedBy>梁鑫晨</cp:lastModifiedBy>
  <cp:lastPrinted>2023-05-16T00:34:00Z</cp:lastPrinted>
  <dcterms:modified xsi:type="dcterms:W3CDTF">2023-07-14T09:51:38Z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425223680_cloud</vt:lpwstr>
  </property>
  <property fmtid="{D5CDD505-2E9C-101B-9397-08002B2CF9AE}" pid="4" name="ICV">
    <vt:lpwstr>AB31D31F0467460389EBC1E77189B977</vt:lpwstr>
  </property>
</Properties>
</file>