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采购项目编号：TZZFBJC202</w:t>
      </w:r>
      <w:r>
        <w:rPr>
          <w:rFonts w:hint="eastAsia" w:ascii="黑体" w:hAnsi="黑体" w:eastAsia="黑体" w:cs="黑体"/>
          <w:bCs/>
          <w:color w:val="000000" w:themeColor="text1"/>
          <w:sz w:val="30"/>
          <w:szCs w:val="30"/>
          <w:lang w:val="en-US" w:eastAsia="zh-CN"/>
          <w14:textFill>
            <w14:solidFill>
              <w14:schemeClr w14:val="tx1"/>
            </w14:solidFill>
          </w14:textFill>
        </w:rPr>
        <w:t>3</w:t>
      </w:r>
      <w:r>
        <w:rPr>
          <w:rFonts w:hint="eastAsia" w:ascii="黑体" w:hAnsi="黑体" w:eastAsia="黑体" w:cs="黑体"/>
          <w:bCs/>
          <w:color w:val="000000" w:themeColor="text1"/>
          <w:sz w:val="30"/>
          <w:szCs w:val="30"/>
          <w14:textFill>
            <w14:solidFill>
              <w14:schemeClr w14:val="tx1"/>
            </w14:solidFill>
          </w14:textFill>
        </w:rPr>
        <w:t>001</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采购项目名称：泰州市级短信平台服务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w:t>
      </w:r>
      <w:r>
        <w:rPr>
          <w:rFonts w:hint="eastAsia" w:ascii="黑体" w:hAnsi="黑体" w:eastAsia="黑体" w:cs="黑体"/>
          <w:color w:val="000000" w:themeColor="text1"/>
          <w:sz w:val="30"/>
          <w:szCs w:val="30"/>
          <w:lang w:val="en-US" w:eastAsia="zh-CN"/>
          <w14:textFill>
            <w14:solidFill>
              <w14:schemeClr w14:val="tx1"/>
            </w14:solidFill>
          </w14:textFill>
        </w:rPr>
        <w:t>三</w:t>
      </w:r>
      <w:r>
        <w:rPr>
          <w:rFonts w:hint="eastAsia" w:ascii="黑体" w:hAnsi="黑体" w:eastAsia="黑体" w:cs="黑体"/>
          <w:color w:val="000000" w:themeColor="text1"/>
          <w:sz w:val="30"/>
          <w:szCs w:val="30"/>
          <w14:textFill>
            <w14:solidFill>
              <w14:schemeClr w14:val="tx1"/>
            </w14:solidFill>
          </w14:textFill>
        </w:rPr>
        <w:t>年</w:t>
      </w:r>
      <w:r>
        <w:rPr>
          <w:rFonts w:hint="eastAsia" w:ascii="黑体" w:hAnsi="黑体" w:eastAsia="黑体" w:cs="黑体"/>
          <w:color w:val="000000" w:themeColor="text1"/>
          <w:sz w:val="30"/>
          <w:szCs w:val="30"/>
          <w:lang w:val="en-US" w:eastAsia="zh-CN"/>
          <w14:textFill>
            <w14:solidFill>
              <w14:schemeClr w14:val="tx1"/>
            </w14:solidFill>
          </w14:textFill>
        </w:rPr>
        <w:t>五</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2"/>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我单位对泰州市级短信平台服务项目进行竞争性磋商采购，欢迎符合相关条件的供应商参加磋商并提请注意下列相关事项：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1.项目名称：泰州市级短信平台服务</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color w:val="000000" w:themeColor="text1"/>
          <w:sz w:val="30"/>
          <w:szCs w:val="30"/>
          <w14:textFill>
            <w14:solidFill>
              <w14:schemeClr w14:val="tx1"/>
            </w14:solidFill>
          </w14:textFill>
        </w:rPr>
        <w:t>TZZFBJC202</w:t>
      </w:r>
      <w:r>
        <w:rPr>
          <w:rFonts w:hint="eastAsia" w:ascii="黑体" w:hAnsi="黑体" w:eastAsia="黑体" w:cs="黑体"/>
          <w:bCs/>
          <w:color w:val="000000" w:themeColor="text1"/>
          <w:sz w:val="30"/>
          <w:szCs w:val="30"/>
          <w:lang w:val="en-US" w:eastAsia="zh-CN"/>
          <w14:textFill>
            <w14:solidFill>
              <w14:schemeClr w14:val="tx1"/>
            </w14:solidFill>
          </w14:textFill>
        </w:rPr>
        <w:t>3</w:t>
      </w:r>
      <w:r>
        <w:rPr>
          <w:rFonts w:hint="eastAsia" w:ascii="黑体" w:hAnsi="黑体" w:eastAsia="黑体" w:cs="黑体"/>
          <w:bCs/>
          <w:color w:val="000000" w:themeColor="text1"/>
          <w:sz w:val="30"/>
          <w:szCs w:val="30"/>
          <w14:textFill>
            <w14:solidFill>
              <w14:schemeClr w14:val="tx1"/>
            </w14:solidFill>
          </w14:textFill>
        </w:rPr>
        <w:t>001</w:t>
      </w:r>
    </w:p>
    <w:p>
      <w:pPr>
        <w:ind w:firstLine="600" w:firstLineChars="2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3.项目预算：</w:t>
      </w:r>
      <w:r>
        <w:rPr>
          <w:rFonts w:hint="eastAsia" w:ascii="黑体" w:hAnsi="黑体" w:eastAsia="黑体" w:cs="黑体"/>
          <w:bCs/>
          <w:color w:val="000000" w:themeColor="text1"/>
          <w:sz w:val="30"/>
          <w:szCs w:val="30"/>
          <w:lang w:val="en-US" w:eastAsia="zh-CN"/>
          <w14:textFill>
            <w14:solidFill>
              <w14:schemeClr w14:val="tx1"/>
            </w14:solidFill>
          </w14:textFill>
        </w:rPr>
        <w:t>45</w:t>
      </w:r>
      <w:r>
        <w:rPr>
          <w:rFonts w:hint="eastAsia" w:ascii="黑体" w:hAnsi="黑体" w:eastAsia="黑体" w:cs="黑体"/>
          <w:bCs/>
          <w:color w:val="000000" w:themeColor="text1"/>
          <w:sz w:val="30"/>
          <w:szCs w:val="30"/>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5</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16</w:t>
      </w:r>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15</w:t>
      </w:r>
      <w:r>
        <w:rPr>
          <w:rFonts w:hint="eastAsia" w:ascii="黑体" w:hAnsi="黑体" w:eastAsia="黑体" w:cs="黑体"/>
          <w:color w:val="000000" w:themeColor="text1"/>
          <w:sz w:val="28"/>
          <w:szCs w:val="28"/>
          <w14:textFill>
            <w14:solidFill>
              <w14:schemeClr w14:val="tx1"/>
            </w14:solidFill>
          </w14:textFill>
        </w:rPr>
        <w:t>:00</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5</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16</w:t>
      </w:r>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15</w:t>
      </w:r>
      <w:bookmarkStart w:id="39" w:name="_GoBack"/>
      <w:bookmarkEnd w:id="39"/>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0，磋商截止时间后的磋商文件恕不接受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磋商文件接收地点：泰州市</w:t>
      </w:r>
      <w:r>
        <w:rPr>
          <w:rFonts w:hint="eastAsia" w:ascii="黑体" w:hAnsi="黑体" w:eastAsia="黑体" w:cs="黑体"/>
          <w:color w:val="000000" w:themeColor="text1"/>
          <w:sz w:val="28"/>
          <w:szCs w:val="28"/>
          <w:lang w:eastAsia="zh-CN"/>
          <w14:textFill>
            <w14:solidFill>
              <w14:schemeClr w14:val="tx1"/>
            </w14:solidFill>
          </w14:textFill>
        </w:rPr>
        <w:t>机关大院</w:t>
      </w:r>
      <w:r>
        <w:rPr>
          <w:rFonts w:hint="eastAsia" w:ascii="黑体" w:hAnsi="黑体" w:eastAsia="黑体" w:cs="黑体"/>
          <w:color w:val="000000" w:themeColor="text1"/>
          <w:sz w:val="28"/>
          <w:szCs w:val="28"/>
          <w14:textFill>
            <w14:solidFill>
              <w14:schemeClr w14:val="tx1"/>
            </w14:solidFill>
          </w14:textFill>
        </w:rPr>
        <w:t>（泰州市海陵区</w:t>
      </w:r>
      <w:r>
        <w:rPr>
          <w:rFonts w:hint="eastAsia" w:ascii="黑体" w:hAnsi="黑体" w:eastAsia="黑体" w:cs="黑体"/>
          <w:color w:val="000000" w:themeColor="text1"/>
          <w:sz w:val="28"/>
          <w:szCs w:val="28"/>
          <w:lang w:eastAsia="zh-CN"/>
          <w14:textFill>
            <w14:solidFill>
              <w14:schemeClr w14:val="tx1"/>
            </w14:solidFill>
          </w14:textFill>
        </w:rPr>
        <w:t>凤凰东路</w:t>
      </w:r>
      <w:r>
        <w:rPr>
          <w:rFonts w:hint="eastAsia" w:ascii="黑体" w:hAnsi="黑体" w:eastAsia="黑体" w:cs="黑体"/>
          <w:color w:val="000000" w:themeColor="text1"/>
          <w:sz w:val="28"/>
          <w:szCs w:val="28"/>
          <w:lang w:val="en-US" w:eastAsia="zh-CN"/>
          <w14:textFill>
            <w14:solidFill>
              <w14:schemeClr w14:val="tx1"/>
            </w14:solidFill>
          </w14:textFill>
        </w:rPr>
        <w:t>58号</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w:t>
      </w:r>
      <w:r>
        <w:rPr>
          <w:rFonts w:hint="eastAsia" w:ascii="黑体" w:hAnsi="黑体" w:eastAsia="黑体" w:cs="黑体"/>
          <w:b/>
          <w:bCs/>
          <w:color w:val="000000" w:themeColor="text1"/>
          <w:sz w:val="28"/>
          <w:szCs w:val="28"/>
          <w:lang w:eastAsia="zh-CN"/>
          <w14:textFill>
            <w14:solidFill>
              <w14:schemeClr w14:val="tx1"/>
            </w14:solidFill>
          </w14:textFill>
        </w:rPr>
        <w:t>”“</w:t>
      </w:r>
      <w:r>
        <w:rPr>
          <w:rFonts w:hint="eastAsia" w:ascii="黑体" w:hAnsi="黑体" w:eastAsia="黑体" w:cs="黑体"/>
          <w:b/>
          <w:bCs/>
          <w:color w:val="000000" w:themeColor="text1"/>
          <w:sz w:val="28"/>
          <w:szCs w:val="28"/>
          <w14:textFill>
            <w14:solidFill>
              <w14:schemeClr w14:val="tx1"/>
            </w14:solidFill>
          </w14:textFill>
        </w:rPr>
        <w:t>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"http://download.ccgp.gov.cn/2018/zhiyihanfanben.zip" \t "_blank"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四．合同书"/>
      <w:bookmarkEnd w:id="6"/>
      <w:bookmarkStart w:id="7" w:name="三．项目技术配置和有关说明"/>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numPr>
          <w:ilvl w:val="0"/>
          <w:numId w:val="3"/>
        </w:numPr>
        <w:jc w:val="center"/>
        <w:outlineLvl w:val="0"/>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项目技术要求与有关说明</w:t>
      </w:r>
    </w:p>
    <w:p>
      <w:pPr>
        <w:pStyle w:val="4"/>
        <w:numPr>
          <w:ilvl w:val="0"/>
          <w:numId w:val="4"/>
        </w:numPr>
        <w:tabs>
          <w:tab w:val="left" w:pos="420"/>
          <w:tab w:val="left" w:pos="567"/>
        </w:tabs>
        <w:spacing w:before="0" w:after="0"/>
        <w:jc w:val="left"/>
      </w:pPr>
      <w:r>
        <w:rPr>
          <w:rFonts w:hint="eastAsia"/>
        </w:rPr>
        <w:t>项目背景</w:t>
      </w:r>
    </w:p>
    <w:p>
      <w:pPr>
        <w:adjustRightInd w:val="0"/>
        <w:snapToGrid w:val="0"/>
        <w:spacing w:line="360" w:lineRule="auto"/>
        <w:ind w:firstLine="480" w:firstLineChars="200"/>
      </w:pPr>
      <w:r>
        <w:rPr>
          <w:rFonts w:hint="eastAsia" w:ascii="宋体" w:hAnsi="宋体" w:cs="宋体"/>
          <w:sz w:val="24"/>
        </w:rPr>
        <w:t>我市目前已建设短信平台，分别供给公安局、人社局、机关事务局、市政府、统计局、财政局等近24个部门单位共43个账号使用，已经对接3</w:t>
      </w:r>
      <w:r>
        <w:rPr>
          <w:rFonts w:ascii="宋体" w:hAnsi="宋体" w:cs="宋体"/>
          <w:sz w:val="24"/>
        </w:rPr>
        <w:t>0</w:t>
      </w:r>
      <w:r>
        <w:rPr>
          <w:rFonts w:hint="eastAsia" w:ascii="宋体" w:hAnsi="宋体" w:cs="宋体"/>
          <w:sz w:val="24"/>
        </w:rPr>
        <w:t>余个各类业务系统，每年短信发送量超过1</w:t>
      </w:r>
      <w:r>
        <w:rPr>
          <w:rFonts w:ascii="宋体" w:hAnsi="宋体" w:cs="宋体"/>
          <w:sz w:val="24"/>
        </w:rPr>
        <w:t>000</w:t>
      </w:r>
      <w:r>
        <w:rPr>
          <w:rFonts w:hint="eastAsia" w:ascii="宋体" w:hAnsi="宋体" w:cs="宋体"/>
          <w:sz w:val="24"/>
        </w:rPr>
        <w:t>万条。</w:t>
      </w:r>
    </w:p>
    <w:p>
      <w:pPr>
        <w:pStyle w:val="4"/>
        <w:numPr>
          <w:ilvl w:val="0"/>
          <w:numId w:val="4"/>
        </w:numPr>
        <w:tabs>
          <w:tab w:val="left" w:pos="420"/>
          <w:tab w:val="left" w:pos="567"/>
        </w:tabs>
        <w:spacing w:before="0" w:after="0"/>
        <w:jc w:val="left"/>
      </w:pPr>
      <w:r>
        <w:rPr>
          <w:rFonts w:hint="eastAsia"/>
        </w:rPr>
        <w:t>建设目标</w:t>
      </w:r>
    </w:p>
    <w:p>
      <w:pPr>
        <w:adjustRightInd w:val="0"/>
        <w:snapToGrid w:val="0"/>
        <w:spacing w:line="360" w:lineRule="auto"/>
        <w:ind w:firstLine="480" w:firstLineChars="200"/>
      </w:pPr>
      <w:r>
        <w:rPr>
          <w:rFonts w:hint="eastAsia" w:ascii="宋体" w:hAnsi="宋体" w:cs="宋体"/>
          <w:sz w:val="24"/>
        </w:rPr>
        <w:t>本次项目需要为我市提供高效可用稳定的全国三网通道，对接我市目前的短信平台以及各部门的账号，支持各部门业务系统发送短信验证码、通知、短信提醒等工作，进一步提升业务系统的稳定性，保障信息发送的时效性，提升业务系统的可靠性。</w:t>
      </w:r>
    </w:p>
    <w:p>
      <w:pPr>
        <w:pStyle w:val="4"/>
        <w:numPr>
          <w:ilvl w:val="0"/>
          <w:numId w:val="4"/>
        </w:numPr>
        <w:tabs>
          <w:tab w:val="left" w:pos="420"/>
          <w:tab w:val="left" w:pos="567"/>
        </w:tabs>
        <w:spacing w:before="0" w:after="0"/>
        <w:jc w:val="left"/>
      </w:pPr>
      <w:r>
        <w:rPr>
          <w:rFonts w:hint="eastAsia"/>
        </w:rPr>
        <w:t>建设内容</w:t>
      </w:r>
    </w:p>
    <w:tbl>
      <w:tblPr>
        <w:tblStyle w:val="9"/>
        <w:tblpPr w:leftFromText="180" w:rightFromText="180" w:vertAnchor="text" w:horzAnchor="margin" w:tblpY="442"/>
        <w:tblOverlap w:val="never"/>
        <w:tblW w:w="54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161"/>
        <w:gridCol w:w="7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392" w:type="pct"/>
            <w:shd w:val="clear" w:color="auto" w:fill="DEEAF6" w:themeFill="accent1" w:themeFillTint="33"/>
            <w:vAlign w:val="center"/>
          </w:tcPr>
          <w:p>
            <w:pPr>
              <w:jc w:val="center"/>
              <w:rPr>
                <w:rFonts w:cs="宋体"/>
                <w:b/>
                <w:sz w:val="20"/>
                <w:szCs w:val="20"/>
              </w:rPr>
            </w:pPr>
            <w:r>
              <w:rPr>
                <w:rFonts w:hint="eastAsia" w:cs="宋体"/>
                <w:b/>
                <w:sz w:val="20"/>
                <w:szCs w:val="20"/>
              </w:rPr>
              <w:t>序号</w:t>
            </w:r>
          </w:p>
        </w:tc>
        <w:tc>
          <w:tcPr>
            <w:tcW w:w="1085" w:type="pct"/>
            <w:shd w:val="clear" w:color="auto" w:fill="DEEAF6" w:themeFill="accent1" w:themeFillTint="33"/>
            <w:vAlign w:val="center"/>
          </w:tcPr>
          <w:p>
            <w:pPr>
              <w:jc w:val="center"/>
              <w:rPr>
                <w:rFonts w:cs="宋体"/>
                <w:b/>
                <w:sz w:val="20"/>
                <w:szCs w:val="20"/>
              </w:rPr>
            </w:pPr>
            <w:r>
              <w:rPr>
                <w:rFonts w:hint="eastAsia" w:cs="宋体"/>
                <w:b/>
                <w:sz w:val="20"/>
                <w:szCs w:val="20"/>
              </w:rPr>
              <w:t>功能名称</w:t>
            </w:r>
          </w:p>
        </w:tc>
        <w:tc>
          <w:tcPr>
            <w:tcW w:w="3523" w:type="pct"/>
            <w:shd w:val="clear" w:color="auto" w:fill="DEEAF6" w:themeFill="accent1" w:themeFillTint="33"/>
            <w:vAlign w:val="center"/>
          </w:tcPr>
          <w:p>
            <w:pPr>
              <w:jc w:val="center"/>
              <w:rPr>
                <w:rFonts w:cs="宋体"/>
                <w:b/>
                <w:sz w:val="20"/>
                <w:szCs w:val="20"/>
              </w:rPr>
            </w:pPr>
            <w:r>
              <w:rPr>
                <w:rFonts w:hint="eastAsia" w:cs="宋体"/>
                <w:b/>
                <w:sz w:val="20"/>
                <w:szCs w:val="20"/>
              </w:rPr>
              <w:t>功能简述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92" w:type="pct"/>
            <w:vAlign w:val="center"/>
          </w:tcPr>
          <w:p>
            <w:pPr>
              <w:jc w:val="center"/>
              <w:rPr>
                <w:rFonts w:cs="宋体"/>
                <w:sz w:val="20"/>
                <w:szCs w:val="20"/>
              </w:rPr>
            </w:pPr>
            <w:r>
              <w:rPr>
                <w:rFonts w:hint="eastAsia" w:cs="宋体"/>
                <w:sz w:val="20"/>
                <w:szCs w:val="20"/>
              </w:rPr>
              <w:t>1</w:t>
            </w:r>
          </w:p>
        </w:tc>
        <w:tc>
          <w:tcPr>
            <w:tcW w:w="1085" w:type="pct"/>
            <w:vAlign w:val="center"/>
          </w:tcPr>
          <w:p>
            <w:pPr>
              <w:jc w:val="center"/>
              <w:rPr>
                <w:rFonts w:cs="宋体"/>
                <w:sz w:val="20"/>
                <w:szCs w:val="20"/>
              </w:rPr>
            </w:pPr>
            <w:r>
              <w:rPr>
                <w:rFonts w:hint="eastAsia" w:cs="宋体"/>
                <w:sz w:val="20"/>
                <w:szCs w:val="20"/>
              </w:rPr>
              <w:t>运维和实时监控服务</w:t>
            </w:r>
          </w:p>
        </w:tc>
        <w:tc>
          <w:tcPr>
            <w:tcW w:w="3523" w:type="pct"/>
            <w:vAlign w:val="center"/>
          </w:tcPr>
          <w:p>
            <w:r>
              <w:rPr>
                <w:rFonts w:hint="eastAsia"/>
              </w:rPr>
              <w:t>对现有政务外网和互联网2套短信平台提供运维服务；</w:t>
            </w:r>
          </w:p>
          <w:p>
            <w:r>
              <w:rPr>
                <w:rFonts w:hint="eastAsia"/>
              </w:rPr>
              <w:t>7*24小时实时监控短信发送情况，及时解决发现的问题。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92" w:type="pct"/>
            <w:vAlign w:val="center"/>
          </w:tcPr>
          <w:p>
            <w:pPr>
              <w:jc w:val="center"/>
              <w:rPr>
                <w:rFonts w:cs="宋体"/>
                <w:sz w:val="20"/>
                <w:szCs w:val="20"/>
              </w:rPr>
            </w:pPr>
            <w:r>
              <w:rPr>
                <w:rFonts w:cs="宋体"/>
                <w:sz w:val="20"/>
                <w:szCs w:val="20"/>
              </w:rPr>
              <w:t>2</w:t>
            </w:r>
          </w:p>
        </w:tc>
        <w:tc>
          <w:tcPr>
            <w:tcW w:w="1085" w:type="pct"/>
            <w:vAlign w:val="center"/>
          </w:tcPr>
          <w:p>
            <w:pPr>
              <w:jc w:val="center"/>
              <w:rPr>
                <w:rFonts w:cs="宋体"/>
                <w:sz w:val="20"/>
                <w:szCs w:val="20"/>
              </w:rPr>
            </w:pPr>
            <w:r>
              <w:rPr>
                <w:rFonts w:hint="eastAsia" w:cs="宋体"/>
                <w:sz w:val="20"/>
                <w:szCs w:val="20"/>
              </w:rPr>
              <w:t>短信发送</w:t>
            </w:r>
          </w:p>
        </w:tc>
        <w:tc>
          <w:tcPr>
            <w:tcW w:w="3523" w:type="pct"/>
            <w:vAlign w:val="center"/>
          </w:tcPr>
          <w:p>
            <w:pPr>
              <w:tabs>
                <w:tab w:val="left" w:pos="470"/>
              </w:tabs>
              <w:rPr>
                <w:rFonts w:cs="宋体"/>
                <w:sz w:val="20"/>
                <w:szCs w:val="20"/>
              </w:rPr>
            </w:pPr>
            <w:r>
              <w:rPr>
                <w:rFonts w:hint="eastAsia" w:cs="宋体"/>
                <w:sz w:val="20"/>
                <w:szCs w:val="20"/>
              </w:rPr>
              <w:t>每条成功短信费用按照本次招标价格计算。按照实际情况，每月统计各部门短信发送成功量，按照实际情况计算支付费用。</w:t>
            </w:r>
          </w:p>
        </w:tc>
      </w:tr>
    </w:tbl>
    <w:p>
      <w:r>
        <w:rPr>
          <w:rFonts w:hint="eastAsia"/>
        </w:rPr>
        <w:t>建设内容一览表</w:t>
      </w:r>
    </w:p>
    <w:p/>
    <w:p>
      <w:pPr>
        <w:pStyle w:val="4"/>
        <w:numPr>
          <w:ilvl w:val="0"/>
          <w:numId w:val="4"/>
        </w:numPr>
        <w:tabs>
          <w:tab w:val="left" w:pos="420"/>
          <w:tab w:val="left" w:pos="567"/>
        </w:tabs>
        <w:spacing w:before="0" w:after="0"/>
        <w:jc w:val="left"/>
      </w:pPr>
      <w:bookmarkStart w:id="8" w:name="_Toc98949151"/>
      <w:r>
        <w:rPr>
          <w:rFonts w:hint="eastAsia"/>
        </w:rPr>
        <w:t>服务要求</w:t>
      </w:r>
      <w:bookmarkEnd w:id="8"/>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9" w:name="_Toc98949152"/>
      <w:r>
        <w:rPr>
          <w:rFonts w:hint="eastAsia" w:ascii="仿宋_GB2312" w:hAnsi="仿宋_GB2312"/>
        </w:rPr>
        <w:t>运维</w:t>
      </w:r>
      <w:bookmarkEnd w:id="9"/>
      <w:r>
        <w:rPr>
          <w:rFonts w:hint="eastAsia" w:ascii="仿宋_GB2312" w:hAnsi="仿宋_GB2312"/>
        </w:rPr>
        <w:t>要求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对现有平台提供运维服务，维护现有平台正常运行，运维与技术职场服务包括但不限于：版本升级、性能优化、故障处理、漏洞修复、定期巡检、重大节日保障等内容。</w:t>
      </w:r>
    </w:p>
    <w:p>
      <w:pPr>
        <w:adjustRightInd w:val="0"/>
        <w:snapToGrid w:val="0"/>
        <w:spacing w:line="360" w:lineRule="auto"/>
        <w:ind w:firstLine="480" w:firstLineChars="200"/>
        <w:rPr>
          <w:rFonts w:ascii="宋体" w:hAnsi="宋体" w:cs="宋体"/>
          <w:b/>
          <w:bCs/>
          <w:sz w:val="24"/>
        </w:rPr>
      </w:pPr>
      <w:r>
        <w:rPr>
          <w:rFonts w:hint="eastAsia" w:ascii="宋体" w:hAnsi="宋体" w:cs="宋体"/>
          <w:b/>
          <w:bCs/>
          <w:sz w:val="24"/>
        </w:rPr>
        <w:t>具体要求如下：</w:t>
      </w:r>
    </w:p>
    <w:p>
      <w:pPr>
        <w:spacing w:line="360" w:lineRule="auto"/>
        <w:ind w:firstLine="480" w:firstLineChars="200"/>
        <w:rPr>
          <w:sz w:val="24"/>
          <w:szCs w:val="32"/>
        </w:rPr>
      </w:pPr>
      <w:r>
        <w:rPr>
          <w:rFonts w:hint="eastAsia"/>
          <w:sz w:val="24"/>
          <w:szCs w:val="32"/>
        </w:rPr>
        <w:t>1． 提供7×24小时技术支持服务，指定相对固定的技术负责人及联络电话、传真、e-mail等。</w:t>
      </w:r>
    </w:p>
    <w:p>
      <w:pPr>
        <w:spacing w:line="360" w:lineRule="auto"/>
        <w:ind w:firstLine="480" w:firstLineChars="200"/>
        <w:rPr>
          <w:sz w:val="24"/>
          <w:szCs w:val="32"/>
        </w:rPr>
      </w:pPr>
      <w:bookmarkStart w:id="10" w:name="_Toc257220826"/>
      <w:bookmarkStart w:id="11" w:name="_Toc257221984"/>
      <w:bookmarkStart w:id="12" w:name="_Toc257221439"/>
      <w:r>
        <w:rPr>
          <w:sz w:val="24"/>
          <w:szCs w:val="32"/>
        </w:rPr>
        <w:t>2</w:t>
      </w:r>
      <w:r>
        <w:rPr>
          <w:rFonts w:hint="eastAsia"/>
          <w:sz w:val="24"/>
          <w:szCs w:val="32"/>
        </w:rPr>
        <w:t>．如遇到系统频繁出现故障、或遇重大节假日等特殊情况，需要提高系统维护等级的情况下，应招标人要求，应提供技术人员提供现场技术支持，及时处理各类故障。</w:t>
      </w:r>
      <w:bookmarkEnd w:id="10"/>
      <w:bookmarkEnd w:id="11"/>
      <w:bookmarkEnd w:id="12"/>
    </w:p>
    <w:p>
      <w:pPr>
        <w:spacing w:line="360" w:lineRule="auto"/>
        <w:ind w:firstLine="480" w:firstLineChars="200"/>
        <w:rPr>
          <w:sz w:val="24"/>
          <w:szCs w:val="32"/>
        </w:rPr>
      </w:pPr>
      <w:r>
        <w:rPr>
          <w:rFonts w:hint="eastAsia"/>
          <w:sz w:val="24"/>
          <w:szCs w:val="32"/>
        </w:rPr>
        <w:t>3．一旦发现系统运行不稳定，而与合同产品有关，须免费提供合乎原厂商规定的合同产品的更新或版本升级，或对系统进行维修、维护，直至问题得到解决。</w:t>
      </w:r>
    </w:p>
    <w:p>
      <w:pPr>
        <w:spacing w:line="360" w:lineRule="auto"/>
        <w:ind w:firstLine="480" w:firstLineChars="200"/>
      </w:pPr>
      <w:r>
        <w:rPr>
          <w:rFonts w:hint="eastAsia"/>
          <w:sz w:val="24"/>
          <w:szCs w:val="32"/>
        </w:rPr>
        <w:t>4</w:t>
      </w:r>
      <w:r>
        <w:rPr>
          <w:sz w:val="24"/>
          <w:szCs w:val="32"/>
        </w:rPr>
        <w:t xml:space="preserve">. </w:t>
      </w:r>
      <w:r>
        <w:rPr>
          <w:rFonts w:hint="eastAsia"/>
          <w:sz w:val="24"/>
          <w:szCs w:val="32"/>
        </w:rPr>
        <w:t>向招标人提供合同产品相关的新技术的日常技术咨询服务。</w:t>
      </w:r>
    </w:p>
    <w:p>
      <w:pPr>
        <w:spacing w:line="360" w:lineRule="auto"/>
        <w:ind w:firstLine="480" w:firstLineChars="200"/>
      </w:pPr>
      <w:r>
        <w:rPr>
          <w:rFonts w:hint="eastAsia"/>
          <w:b/>
          <w:bCs/>
          <w:sz w:val="24"/>
          <w:szCs w:val="32"/>
        </w:rPr>
        <w:t>运维指标要求如下：</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6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shd w:val="clear" w:color="auto" w:fill="A6A6A6"/>
            <w:vAlign w:val="center"/>
          </w:tcPr>
          <w:p>
            <w:pPr>
              <w:spacing w:line="360" w:lineRule="auto"/>
              <w:jc w:val="center"/>
              <w:outlineLvl w:val="1"/>
              <w:rPr>
                <w:rFonts w:ascii="宋体" w:hAnsi="宋体" w:cs="宋体"/>
                <w:b/>
                <w:bCs/>
                <w:sz w:val="24"/>
              </w:rPr>
            </w:pPr>
            <w:bookmarkStart w:id="13" w:name="_Toc98949153"/>
            <w:bookmarkStart w:id="14" w:name="_Toc9205"/>
            <w:r>
              <w:rPr>
                <w:rFonts w:hint="eastAsia" w:ascii="宋体" w:hAnsi="宋体" w:cs="宋体"/>
                <w:b/>
                <w:bCs/>
                <w:sz w:val="24"/>
              </w:rPr>
              <w:t>指标项</w:t>
            </w:r>
            <w:bookmarkEnd w:id="13"/>
            <w:bookmarkEnd w:id="14"/>
          </w:p>
        </w:tc>
        <w:tc>
          <w:tcPr>
            <w:tcW w:w="3684" w:type="pct"/>
            <w:tcBorders>
              <w:top w:val="single" w:color="auto" w:sz="4" w:space="0"/>
              <w:left w:val="nil"/>
              <w:bottom w:val="single" w:color="auto" w:sz="4" w:space="0"/>
              <w:right w:val="single" w:color="auto" w:sz="4" w:space="0"/>
            </w:tcBorders>
            <w:shd w:val="clear" w:color="auto" w:fill="A6A6A6"/>
            <w:vAlign w:val="center"/>
          </w:tcPr>
          <w:p>
            <w:pPr>
              <w:spacing w:line="360" w:lineRule="auto"/>
              <w:jc w:val="center"/>
              <w:outlineLvl w:val="1"/>
              <w:rPr>
                <w:rFonts w:ascii="宋体" w:hAnsi="宋体" w:cs="宋体"/>
                <w:b/>
                <w:bCs/>
                <w:sz w:val="24"/>
              </w:rPr>
            </w:pPr>
            <w:bookmarkStart w:id="15" w:name="_Toc98949154"/>
            <w:bookmarkStart w:id="16" w:name="_Toc27245"/>
            <w:r>
              <w:rPr>
                <w:rFonts w:hint="eastAsia" w:ascii="宋体" w:hAnsi="宋体" w:cs="宋体"/>
                <w:b/>
                <w:bCs/>
                <w:sz w:val="24"/>
              </w:rPr>
              <w:t>技术规格</w:t>
            </w:r>
            <w:bookmarkEnd w:id="15"/>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支持客户</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移动、联通、电信手机用户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发送成功率</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≥99.9</w:t>
            </w:r>
            <w:r>
              <w:rPr>
                <w:rFonts w:ascii="宋体" w:hAnsi="宋体" w:cs="宋体"/>
                <w:sz w:val="24"/>
              </w:rPr>
              <w:t>9</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发送速度</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发送速度≥2000条/秒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短信延时</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从发送至接收短信时延≤5秒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报告类型</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支持提交报告和状态报告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黑名单</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支持黑名单通道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企业签名</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支持企业签名自动附加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接入模式</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支持各种通道标准接口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通道安全</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支持关键字过滤，杜绝非法短信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全天候发送</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支持定时发送；支持7*24小时发送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单条发送字数</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发送字数≥70个字，可支持长短信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上行短信</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支持上行短信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通道扩展</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通道扩展≥</w:t>
            </w:r>
            <w:r>
              <w:rPr>
                <w:rFonts w:ascii="宋体" w:hAnsi="宋体" w:cs="宋体"/>
                <w:sz w:val="24"/>
              </w:rPr>
              <w:t>12</w:t>
            </w:r>
            <w:r>
              <w:rPr>
                <w:rFonts w:hint="eastAsia" w:ascii="宋体" w:hAnsi="宋体" w:cs="宋体"/>
                <w:sz w:val="24"/>
              </w:rPr>
              <w:t>位数字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短信内容审核</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支持短信发送内容无审核即可直接发送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安全要求</w:t>
            </w:r>
          </w:p>
        </w:tc>
        <w:tc>
          <w:tcPr>
            <w:tcW w:w="3684" w:type="pct"/>
            <w:tcBorders>
              <w:top w:val="single" w:color="auto" w:sz="4" w:space="0"/>
              <w:left w:val="nil"/>
              <w:bottom w:val="single" w:color="auto" w:sz="4" w:space="0"/>
              <w:right w:val="single" w:color="auto" w:sz="4" w:space="0"/>
            </w:tcBorders>
            <w:vAlign w:val="center"/>
          </w:tcPr>
          <w:p>
            <w:pPr>
              <w:pStyle w:val="15"/>
              <w:spacing w:line="360" w:lineRule="auto"/>
              <w:rPr>
                <w:rFonts w:ascii="宋体" w:hAnsi="宋体" w:cs="宋体"/>
                <w:sz w:val="24"/>
              </w:rPr>
            </w:pPr>
            <w:r>
              <w:rPr>
                <w:rFonts w:hint="eastAsia" w:ascii="宋体" w:hAnsi="宋体" w:cs="宋体"/>
                <w:sz w:val="24"/>
              </w:rPr>
              <w:t>短信通道应提供安全防护功能，防止发送短信内容在中途被截取。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多通道要求</w:t>
            </w:r>
          </w:p>
        </w:tc>
        <w:tc>
          <w:tcPr>
            <w:tcW w:w="3684" w:type="pct"/>
            <w:tcBorders>
              <w:top w:val="single" w:color="auto" w:sz="4" w:space="0"/>
              <w:left w:val="nil"/>
              <w:bottom w:val="single" w:color="auto" w:sz="4" w:space="0"/>
              <w:right w:val="single" w:color="auto" w:sz="4" w:space="0"/>
            </w:tcBorders>
            <w:vAlign w:val="center"/>
          </w:tcPr>
          <w:p>
            <w:pPr>
              <w:pStyle w:val="15"/>
              <w:spacing w:line="360" w:lineRule="auto"/>
              <w:rPr>
                <w:rFonts w:ascii="宋体" w:hAnsi="宋体" w:cs="宋体"/>
                <w:sz w:val="24"/>
              </w:rPr>
            </w:pPr>
            <w:r>
              <w:rPr>
                <w:rFonts w:hint="eastAsia" w:ascii="宋体" w:hAnsi="宋体" w:cs="宋体"/>
                <w:sz w:val="24"/>
              </w:rPr>
              <w:t>支持多通道发送，提供多条通道备份，具备应急切换通道机制</w:t>
            </w:r>
          </w:p>
        </w:tc>
      </w:tr>
    </w:tbl>
    <w:p>
      <w:pPr>
        <w:pStyle w:val="5"/>
        <w:numPr>
          <w:ilvl w:val="1"/>
          <w:numId w:val="4"/>
        </w:numPr>
        <w:tabs>
          <w:tab w:val="left" w:pos="567"/>
        </w:tabs>
        <w:adjustRightInd/>
        <w:snapToGrid/>
        <w:spacing w:before="0" w:after="0" w:line="360" w:lineRule="auto"/>
        <w:ind w:left="0" w:firstLine="0"/>
        <w:rPr>
          <w:rFonts w:ascii="仿宋_GB2312" w:hAnsi="仿宋_GB2312"/>
        </w:rPr>
      </w:pPr>
      <w:bookmarkStart w:id="17" w:name="_Toc129"/>
      <w:r>
        <w:rPr>
          <w:rFonts w:hint="eastAsia" w:ascii="仿宋_GB2312" w:hAnsi="仿宋_GB2312"/>
        </w:rPr>
        <w:t>实时</w:t>
      </w:r>
      <w:bookmarkStart w:id="18" w:name="_Hlk129785703"/>
      <w:r>
        <w:rPr>
          <w:rFonts w:hint="eastAsia" w:ascii="仿宋_GB2312" w:hAnsi="仿宋_GB2312"/>
        </w:rPr>
        <w:t>监控</w:t>
      </w:r>
      <w:bookmarkEnd w:id="17"/>
      <w:bookmarkEnd w:id="18"/>
      <w:r>
        <w:rPr>
          <w:rFonts w:hint="eastAsia" w:ascii="仿宋_GB2312" w:hAnsi="仿宋_GB2312"/>
        </w:rPr>
        <w:t>要求</w:t>
      </w:r>
    </w:p>
    <w:p>
      <w:pPr>
        <w:pStyle w:val="15"/>
        <w:spacing w:line="360" w:lineRule="auto"/>
        <w:ind w:firstLine="480" w:firstLineChars="200"/>
        <w:rPr>
          <w:rFonts w:ascii="宋体" w:hAnsi="宋体" w:cs="宋体"/>
          <w:sz w:val="24"/>
        </w:rPr>
      </w:pPr>
      <w:r>
        <w:rPr>
          <w:rFonts w:hint="eastAsia"/>
          <w:color w:val="000000" w:themeColor="text1"/>
          <w:sz w:val="24"/>
          <w:szCs w:val="32"/>
          <w14:textFill>
            <w14:solidFill>
              <w14:schemeClr w14:val="tx1"/>
            </w14:solidFill>
          </w14:textFill>
        </w:rPr>
        <w:t>提供运维监控平台，</w:t>
      </w:r>
      <w:r>
        <w:rPr>
          <w:rFonts w:hint="eastAsia" w:ascii="宋体" w:hAnsi="宋体" w:cs="宋体"/>
          <w:sz w:val="24"/>
        </w:rPr>
        <w:t>监控平台须支持</w:t>
      </w:r>
      <w:r>
        <w:rPr>
          <w:rFonts w:ascii="宋体" w:hAnsi="宋体" w:cs="宋体"/>
          <w:sz w:val="24"/>
        </w:rPr>
        <w:t>7*24</w:t>
      </w:r>
      <w:r>
        <w:rPr>
          <w:rFonts w:hint="eastAsia" w:ascii="宋体" w:hAnsi="宋体" w:cs="宋体"/>
          <w:sz w:val="24"/>
        </w:rPr>
        <w:t>小时云监控。如有任何异常，将（语音电话、短信）发出异常通知给运维人员与项目负责人。</w:t>
      </w:r>
    </w:p>
    <w:p>
      <w:pPr>
        <w:pStyle w:val="15"/>
        <w:spacing w:line="360" w:lineRule="auto"/>
        <w:ind w:firstLine="480" w:firstLineChars="200"/>
        <w:rPr>
          <w:rFonts w:ascii="宋体" w:hAnsi="宋体" w:cs="宋体"/>
          <w:sz w:val="24"/>
        </w:rPr>
      </w:pPr>
      <w:r>
        <w:rPr>
          <w:rFonts w:hint="eastAsia" w:ascii="宋体" w:hAnsi="宋体" w:cs="宋体"/>
          <w:sz w:val="24"/>
        </w:rPr>
        <w:t>监控点包含但是不限于：</w:t>
      </w:r>
    </w:p>
    <w:p>
      <w:pPr>
        <w:pStyle w:val="15"/>
        <w:spacing w:line="360" w:lineRule="auto"/>
        <w:ind w:firstLine="480" w:firstLineChars="200"/>
        <w:rPr>
          <w:rFonts w:ascii="宋体" w:hAnsi="宋体" w:cs="宋体"/>
          <w:sz w:val="24"/>
        </w:rPr>
      </w:pPr>
      <w:r>
        <w:rPr>
          <w:rFonts w:hint="eastAsia" w:ascii="宋体" w:hAnsi="宋体" w:cs="宋体"/>
          <w:sz w:val="24"/>
        </w:rPr>
        <w:t>1. 监控整个系统的硬件资源使用情况，如：CPU、内存、硬盘，若超出设定阈值则给出预警通知；</w:t>
      </w:r>
    </w:p>
    <w:p>
      <w:pPr>
        <w:pStyle w:val="15"/>
        <w:spacing w:line="360" w:lineRule="auto"/>
        <w:ind w:firstLine="480" w:firstLineChars="200"/>
        <w:rPr>
          <w:rFonts w:ascii="宋体" w:hAnsi="宋体" w:cs="宋体"/>
          <w:sz w:val="24"/>
        </w:rPr>
      </w:pPr>
      <w:r>
        <w:rPr>
          <w:rFonts w:hint="eastAsia" w:ascii="宋体" w:hAnsi="宋体" w:cs="宋体"/>
          <w:sz w:val="24"/>
        </w:rPr>
        <w:t>2. 监控短息发送失败率超过5%给出预警；</w:t>
      </w:r>
    </w:p>
    <w:p>
      <w:pPr>
        <w:pStyle w:val="15"/>
        <w:spacing w:line="360" w:lineRule="auto"/>
        <w:ind w:firstLine="480" w:firstLineChars="200"/>
        <w:rPr>
          <w:rFonts w:ascii="宋体" w:hAnsi="宋体" w:cs="宋体"/>
          <w:sz w:val="24"/>
        </w:rPr>
      </w:pPr>
      <w:r>
        <w:rPr>
          <w:rFonts w:hint="eastAsia" w:ascii="宋体" w:hAnsi="宋体" w:cs="宋体"/>
          <w:sz w:val="24"/>
        </w:rPr>
        <w:t>3. 监控短信发送情况，如有短信积压会给出预警；</w:t>
      </w:r>
    </w:p>
    <w:p>
      <w:pPr>
        <w:pStyle w:val="15"/>
        <w:spacing w:line="360" w:lineRule="auto"/>
        <w:ind w:firstLine="480" w:firstLineChars="200"/>
        <w:rPr>
          <w:rFonts w:ascii="宋体" w:hAnsi="宋体" w:cs="宋体"/>
          <w:sz w:val="24"/>
        </w:rPr>
      </w:pPr>
      <w:r>
        <w:rPr>
          <w:rFonts w:hint="eastAsia" w:ascii="宋体" w:hAnsi="宋体" w:cs="宋体"/>
          <w:sz w:val="24"/>
        </w:rPr>
        <w:t>4. 监控服务器，若有内存溢出，则给出预警通知；</w:t>
      </w:r>
    </w:p>
    <w:p>
      <w:pPr>
        <w:pStyle w:val="15"/>
        <w:spacing w:line="360" w:lineRule="auto"/>
        <w:ind w:firstLine="480" w:firstLineChars="200"/>
        <w:rPr>
          <w:rFonts w:ascii="宋体" w:hAnsi="宋体" w:cs="宋体"/>
          <w:sz w:val="24"/>
        </w:rPr>
      </w:pPr>
      <w:r>
        <w:rPr>
          <w:rFonts w:hint="eastAsia" w:ascii="宋体" w:hAnsi="宋体" w:cs="宋体"/>
          <w:sz w:val="24"/>
        </w:rPr>
        <w:t>5. 监控数据库资源详情，若超出设定阈值则给出预警通知。</w:t>
      </w:r>
    </w:p>
    <w:p>
      <w:pPr>
        <w:pStyle w:val="15"/>
        <w:spacing w:line="360" w:lineRule="auto"/>
        <w:ind w:firstLine="480" w:firstLineChars="200"/>
        <w:rPr>
          <w:rFonts w:ascii="宋体" w:hAnsi="宋体" w:cs="宋体"/>
          <w:sz w:val="24"/>
        </w:rPr>
      </w:pPr>
      <w:r>
        <w:rPr>
          <w:rFonts w:hint="eastAsia" w:ascii="宋体" w:hAnsi="宋体" w:cs="宋体"/>
          <w:sz w:val="24"/>
        </w:rPr>
        <w:t>6. 监控短信平台的处理速度，若长时间不处理则进行预警。</w:t>
      </w:r>
    </w:p>
    <w:p>
      <w:pPr>
        <w:pStyle w:val="15"/>
        <w:spacing w:line="360" w:lineRule="auto"/>
        <w:ind w:firstLine="480" w:firstLineChars="200"/>
        <w:rPr>
          <w:rFonts w:ascii="宋体" w:hAnsi="宋体" w:cs="宋体"/>
          <w:sz w:val="24"/>
        </w:rPr>
      </w:pPr>
      <w:r>
        <w:rPr>
          <w:rFonts w:hint="eastAsia" w:ascii="宋体" w:hAnsi="宋体" w:cs="宋体"/>
          <w:sz w:val="24"/>
        </w:rPr>
        <w:t>通过脚本方式进行监控：</w:t>
      </w:r>
    </w:p>
    <w:p>
      <w:pPr>
        <w:pStyle w:val="15"/>
        <w:spacing w:line="360" w:lineRule="auto"/>
        <w:ind w:firstLine="480" w:firstLineChars="200"/>
        <w:rPr>
          <w:rFonts w:ascii="宋体" w:hAnsi="宋体" w:cs="宋体"/>
          <w:sz w:val="24"/>
        </w:rPr>
      </w:pPr>
      <w:r>
        <w:rPr>
          <w:rFonts w:hint="eastAsia" w:ascii="宋体" w:hAnsi="宋体" w:cs="宋体"/>
          <w:sz w:val="24"/>
        </w:rPr>
        <w:t>1. 监控短信平台各个模块的日志，当日志有错误时，给出预警；</w:t>
      </w:r>
    </w:p>
    <w:p>
      <w:pPr>
        <w:pStyle w:val="15"/>
        <w:spacing w:line="360" w:lineRule="auto"/>
        <w:ind w:firstLine="480" w:firstLineChars="200"/>
        <w:rPr>
          <w:rFonts w:ascii="宋体" w:hAnsi="宋体" w:cs="宋体"/>
          <w:sz w:val="24"/>
        </w:rPr>
      </w:pPr>
      <w:r>
        <w:rPr>
          <w:rFonts w:hint="eastAsia" w:ascii="宋体" w:hAnsi="宋体" w:cs="宋体"/>
          <w:sz w:val="24"/>
        </w:rPr>
        <w:t>2. 根据具体的业务，监控特定账号发送情况，如：用户每天上午9点左右会发送一批短信，如该用户在9点左右未发送短信或者短信发送失败，则会发出预警。</w:t>
      </w:r>
    </w:p>
    <w:p>
      <w:pPr>
        <w:pStyle w:val="15"/>
        <w:spacing w:line="360" w:lineRule="auto"/>
        <w:ind w:firstLine="480" w:firstLineChars="200"/>
        <w:rPr>
          <w:rFonts w:ascii="宋体" w:hAnsi="宋体" w:cs="宋体"/>
          <w:sz w:val="24"/>
        </w:rPr>
      </w:pPr>
      <w:r>
        <w:rPr>
          <w:rFonts w:hint="eastAsia" w:ascii="宋体" w:hAnsi="宋体" w:cs="宋体"/>
          <w:sz w:val="24"/>
        </w:rPr>
        <w:t>技术人员收到监控报警，可以远程登录外网服务器，然后从外网服务器登录内网，出现问题能及时快速恢复短信业务，同时分析排查错误原因。技术人员可以直接在浏览器外网登录短信平台，查看短信发送是否成功。</w:t>
      </w:r>
    </w:p>
    <w:p>
      <w:pPr>
        <w:pStyle w:val="5"/>
        <w:numPr>
          <w:ilvl w:val="1"/>
          <w:numId w:val="4"/>
        </w:numPr>
        <w:tabs>
          <w:tab w:val="left" w:pos="567"/>
        </w:tabs>
        <w:adjustRightInd/>
        <w:snapToGrid/>
        <w:spacing w:before="0" w:after="0" w:line="360" w:lineRule="auto"/>
        <w:ind w:left="0" w:firstLine="0"/>
        <w:rPr>
          <w:rFonts w:ascii="仿宋_GB2312" w:hAnsi="仿宋_GB2312"/>
        </w:rPr>
      </w:pPr>
      <w:r>
        <w:rPr>
          <w:rFonts w:hint="eastAsia" w:ascii="仿宋_GB2312" w:hAnsi="仿宋_GB2312"/>
        </w:rPr>
        <w:t>短信支付</w:t>
      </w:r>
    </w:p>
    <w:p>
      <w:pPr>
        <w:pStyle w:val="15"/>
        <w:spacing w:line="360" w:lineRule="auto"/>
        <w:ind w:firstLine="480" w:firstLineChars="200"/>
        <w:rPr>
          <w:rFonts w:ascii="宋体" w:hAnsi="宋体" w:cs="宋体"/>
          <w:sz w:val="24"/>
        </w:rPr>
      </w:pPr>
      <w:r>
        <w:rPr>
          <w:rFonts w:hint="eastAsia" w:ascii="宋体" w:hAnsi="宋体" w:cs="宋体"/>
          <w:sz w:val="24"/>
        </w:rPr>
        <w:t>每月按照部门统计短信发送量和成功量，根据每条短信单价（本次招标结果计算）计算支付金额，单个部门总短信发送量总价超过</w:t>
      </w:r>
      <w:r>
        <w:rPr>
          <w:rFonts w:ascii="宋体" w:hAnsi="宋体" w:cs="宋体"/>
          <w:sz w:val="24"/>
        </w:rPr>
        <w:t>1000</w:t>
      </w:r>
      <w:r>
        <w:rPr>
          <w:rFonts w:hint="eastAsia" w:ascii="宋体" w:hAnsi="宋体" w:cs="宋体"/>
          <w:sz w:val="24"/>
        </w:rPr>
        <w:t>元的，由部门单独支付。</w:t>
      </w:r>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19" w:name="_Toc98949159"/>
      <w:r>
        <w:rPr>
          <w:rFonts w:hint="eastAsia" w:ascii="仿宋_GB2312" w:hAnsi="仿宋_GB2312"/>
        </w:rPr>
        <w:t>技术架构要求</w:t>
      </w:r>
      <w:bookmarkEnd w:id="19"/>
    </w:p>
    <w:p>
      <w:pPr>
        <w:pStyle w:val="15"/>
        <w:spacing w:line="360" w:lineRule="auto"/>
        <w:ind w:firstLine="482" w:firstLineChars="200"/>
        <w:rPr>
          <w:rFonts w:ascii="宋体" w:hAnsi="宋体" w:cs="宋体"/>
          <w:b/>
          <w:bCs/>
          <w:sz w:val="24"/>
        </w:rPr>
      </w:pPr>
      <w:r>
        <w:rPr>
          <w:rFonts w:hint="eastAsia" w:ascii="宋体" w:hAnsi="宋体" w:cs="宋体"/>
          <w:b/>
          <w:bCs/>
          <w:sz w:val="24"/>
        </w:rPr>
        <w:t>可靠性</w:t>
      </w:r>
    </w:p>
    <w:p>
      <w:pPr>
        <w:pStyle w:val="15"/>
        <w:spacing w:line="360" w:lineRule="auto"/>
        <w:ind w:firstLine="480" w:firstLineChars="200"/>
        <w:rPr>
          <w:rFonts w:ascii="宋体" w:hAnsi="宋体" w:cs="宋体"/>
          <w:sz w:val="24"/>
        </w:rPr>
      </w:pPr>
      <w:r>
        <w:rPr>
          <w:rFonts w:hint="eastAsia" w:ascii="宋体" w:hAnsi="宋体" w:cs="宋体"/>
          <w:sz w:val="24"/>
        </w:rPr>
        <w:t>应具有较强的系统安全性和灾难恢复能力，系统支持集群部署，支持部署节点任意扩展，集群部署的任意单个节点失效不影响整体业务运行。</w:t>
      </w:r>
    </w:p>
    <w:p>
      <w:pPr>
        <w:pStyle w:val="15"/>
        <w:spacing w:line="360" w:lineRule="auto"/>
        <w:ind w:firstLine="482" w:firstLineChars="200"/>
        <w:rPr>
          <w:rFonts w:ascii="宋体" w:hAnsi="宋体" w:cs="宋体"/>
          <w:b/>
          <w:bCs/>
          <w:sz w:val="24"/>
        </w:rPr>
      </w:pPr>
      <w:r>
        <w:rPr>
          <w:rFonts w:hint="eastAsia" w:ascii="宋体" w:hAnsi="宋体" w:cs="宋体"/>
          <w:b/>
          <w:bCs/>
          <w:sz w:val="24"/>
        </w:rPr>
        <w:t>扩展性</w:t>
      </w:r>
    </w:p>
    <w:p>
      <w:pPr>
        <w:pStyle w:val="15"/>
        <w:spacing w:line="360" w:lineRule="auto"/>
        <w:ind w:firstLine="480" w:firstLineChars="200"/>
        <w:rPr>
          <w:rFonts w:ascii="宋体" w:hAnsi="宋体" w:cs="宋体"/>
          <w:sz w:val="24"/>
        </w:rPr>
      </w:pPr>
      <w:r>
        <w:rPr>
          <w:rFonts w:hint="eastAsia" w:ascii="宋体" w:hAnsi="宋体" w:cs="宋体"/>
          <w:sz w:val="24"/>
        </w:rPr>
        <w:t>系统应具备一定前瞻性，能支持基于多媒体信息发送等相关前沿技术应用。</w:t>
      </w:r>
    </w:p>
    <w:p>
      <w:pPr>
        <w:pStyle w:val="15"/>
        <w:spacing w:line="360" w:lineRule="auto"/>
        <w:ind w:firstLine="482" w:firstLineChars="200"/>
        <w:rPr>
          <w:rFonts w:ascii="宋体" w:hAnsi="宋体" w:cs="宋体"/>
          <w:b/>
          <w:bCs/>
          <w:sz w:val="24"/>
        </w:rPr>
      </w:pPr>
      <w:r>
        <w:rPr>
          <w:rFonts w:hint="eastAsia" w:ascii="宋体" w:hAnsi="宋体" w:cs="宋体"/>
          <w:b/>
          <w:bCs/>
          <w:sz w:val="24"/>
        </w:rPr>
        <w:t>稳定性</w:t>
      </w:r>
    </w:p>
    <w:p>
      <w:pPr>
        <w:pStyle w:val="15"/>
        <w:spacing w:line="360" w:lineRule="auto"/>
        <w:ind w:firstLine="480" w:firstLineChars="200"/>
        <w:rPr>
          <w:rFonts w:ascii="宋体" w:hAnsi="宋体" w:cs="宋体"/>
          <w:sz w:val="24"/>
        </w:rPr>
      </w:pPr>
      <w:r>
        <w:rPr>
          <w:rFonts w:hint="eastAsia" w:ascii="宋体" w:hAnsi="宋体" w:cs="宋体"/>
          <w:sz w:val="24"/>
        </w:rPr>
        <w:t>短信业务处理的全部流程应防止出现单点故障，具备热切热备的机制，且备用资源启用时，应确保短信数据无损失；</w:t>
      </w:r>
    </w:p>
    <w:p>
      <w:pPr>
        <w:pStyle w:val="15"/>
        <w:spacing w:line="360" w:lineRule="auto"/>
        <w:ind w:firstLine="482" w:firstLineChars="200"/>
        <w:rPr>
          <w:rFonts w:ascii="宋体" w:hAnsi="宋体" w:cs="宋体"/>
          <w:b/>
          <w:bCs/>
          <w:sz w:val="24"/>
        </w:rPr>
      </w:pPr>
      <w:r>
        <w:rPr>
          <w:rFonts w:hint="eastAsia" w:ascii="宋体" w:hAnsi="宋体" w:cs="宋体"/>
          <w:b/>
          <w:bCs/>
          <w:sz w:val="24"/>
        </w:rPr>
        <w:t>接口数据无缝对接</w:t>
      </w:r>
    </w:p>
    <w:p>
      <w:pPr>
        <w:pStyle w:val="15"/>
        <w:spacing w:line="360" w:lineRule="auto"/>
        <w:ind w:firstLine="480" w:firstLineChars="200"/>
        <w:rPr>
          <w:rFonts w:ascii="宋体" w:hAnsi="宋体" w:cs="宋体"/>
          <w:sz w:val="24"/>
        </w:rPr>
      </w:pPr>
      <w:r>
        <w:rPr>
          <w:rFonts w:hint="eastAsia" w:ascii="宋体" w:hAnsi="宋体" w:cs="宋体"/>
          <w:sz w:val="24"/>
        </w:rPr>
        <w:t>应提供完整的开放式接口，满足按用户、部门分权调用的功能。</w:t>
      </w:r>
    </w:p>
    <w:p>
      <w:pPr>
        <w:pStyle w:val="15"/>
        <w:spacing w:line="360" w:lineRule="auto"/>
        <w:ind w:firstLine="482" w:firstLineChars="200"/>
        <w:rPr>
          <w:rFonts w:ascii="宋体" w:hAnsi="宋体" w:cs="宋体"/>
          <w:b/>
          <w:bCs/>
          <w:sz w:val="24"/>
        </w:rPr>
      </w:pPr>
      <w:r>
        <w:rPr>
          <w:rFonts w:hint="eastAsia" w:ascii="宋体" w:hAnsi="宋体" w:cs="宋体"/>
          <w:b/>
          <w:bCs/>
          <w:sz w:val="24"/>
        </w:rPr>
        <w:t>多通道动态负载均衡</w:t>
      </w:r>
    </w:p>
    <w:p>
      <w:pPr>
        <w:pStyle w:val="15"/>
        <w:spacing w:line="360" w:lineRule="auto"/>
        <w:ind w:firstLine="480" w:firstLineChars="200"/>
        <w:rPr>
          <w:rFonts w:ascii="宋体" w:hAnsi="宋体" w:cs="宋体"/>
          <w:sz w:val="24"/>
        </w:rPr>
      </w:pPr>
      <w:r>
        <w:rPr>
          <w:rFonts w:hint="eastAsia" w:ascii="宋体" w:hAnsi="宋体" w:cs="宋体"/>
          <w:sz w:val="24"/>
        </w:rPr>
        <w:t>多通道处理机制应能够满足高并发时，平台智能化自动均衡分配多通道处理，使高并发短信能够及时稳定的高效发出。</w:t>
      </w:r>
    </w:p>
    <w:p>
      <w:pPr>
        <w:pStyle w:val="15"/>
        <w:spacing w:line="360" w:lineRule="auto"/>
        <w:ind w:firstLine="482" w:firstLineChars="200"/>
        <w:rPr>
          <w:rFonts w:ascii="宋体" w:hAnsi="宋体" w:cs="宋体"/>
          <w:b/>
          <w:bCs/>
          <w:sz w:val="24"/>
        </w:rPr>
      </w:pPr>
      <w:r>
        <w:rPr>
          <w:rFonts w:hint="eastAsia" w:ascii="宋体" w:hAnsi="宋体" w:cs="宋体"/>
          <w:b/>
          <w:bCs/>
          <w:sz w:val="24"/>
        </w:rPr>
        <w:t>通道热拔插</w:t>
      </w:r>
    </w:p>
    <w:p>
      <w:pPr>
        <w:pStyle w:val="15"/>
        <w:spacing w:line="360" w:lineRule="auto"/>
        <w:ind w:firstLine="480" w:firstLineChars="200"/>
        <w:rPr>
          <w:rFonts w:ascii="宋体" w:hAnsi="宋体" w:cs="宋体"/>
          <w:sz w:val="24"/>
        </w:rPr>
      </w:pPr>
      <w:r>
        <w:rPr>
          <w:rFonts w:hint="eastAsia" w:ascii="宋体" w:hAnsi="宋体" w:cs="宋体"/>
          <w:sz w:val="24"/>
        </w:rPr>
        <w:t>通道应随时切换，通道热拔插提高平台对灾难的及时恢复能力、扩展性和灵活性。</w:t>
      </w:r>
    </w:p>
    <w:p>
      <w:pPr>
        <w:pStyle w:val="15"/>
        <w:spacing w:line="360" w:lineRule="auto"/>
        <w:ind w:firstLine="482" w:firstLineChars="200"/>
        <w:rPr>
          <w:rFonts w:ascii="宋体" w:hAnsi="宋体" w:cs="宋体"/>
          <w:b/>
          <w:bCs/>
          <w:sz w:val="24"/>
        </w:rPr>
      </w:pPr>
      <w:r>
        <w:rPr>
          <w:rFonts w:hint="eastAsia" w:ascii="宋体" w:hAnsi="宋体" w:cs="宋体"/>
          <w:b/>
          <w:bCs/>
          <w:sz w:val="24"/>
        </w:rPr>
        <w:t>在线通道切换</w:t>
      </w:r>
    </w:p>
    <w:p>
      <w:pPr>
        <w:pStyle w:val="15"/>
        <w:spacing w:line="360" w:lineRule="auto"/>
        <w:ind w:firstLine="480" w:firstLineChars="200"/>
        <w:rPr>
          <w:rFonts w:ascii="宋体" w:hAnsi="宋体" w:cs="宋体"/>
          <w:sz w:val="24"/>
        </w:rPr>
      </w:pPr>
      <w:r>
        <w:rPr>
          <w:rFonts w:hint="eastAsia" w:ascii="宋体" w:hAnsi="宋体" w:cs="宋体"/>
          <w:sz w:val="24"/>
        </w:rPr>
        <w:t>运行过程中，应支持在线切换通道，完善的在线通道切换保障平台在通道资源出现异常时，后续提交的短信不受影响，及时从切换后的通道发出。</w:t>
      </w:r>
    </w:p>
    <w:p>
      <w:pPr>
        <w:pStyle w:val="15"/>
        <w:spacing w:line="360" w:lineRule="auto"/>
        <w:ind w:firstLine="482" w:firstLineChars="200"/>
        <w:rPr>
          <w:rFonts w:ascii="宋体" w:hAnsi="宋体" w:cs="宋体"/>
          <w:b/>
          <w:bCs/>
          <w:sz w:val="24"/>
        </w:rPr>
      </w:pPr>
      <w:r>
        <w:rPr>
          <w:rFonts w:hint="eastAsia" w:ascii="宋体" w:hAnsi="宋体" w:cs="宋体"/>
          <w:b/>
          <w:bCs/>
          <w:sz w:val="24"/>
        </w:rPr>
        <w:t>短信全状态跟踪能力</w:t>
      </w:r>
    </w:p>
    <w:p>
      <w:pPr>
        <w:pStyle w:val="15"/>
        <w:spacing w:line="360" w:lineRule="auto"/>
        <w:ind w:firstLine="480" w:firstLineChars="200"/>
        <w:rPr>
          <w:rFonts w:ascii="宋体" w:hAnsi="宋体" w:cs="宋体"/>
          <w:sz w:val="24"/>
        </w:rPr>
      </w:pPr>
      <w:r>
        <w:rPr>
          <w:rFonts w:hint="eastAsia" w:ascii="宋体" w:hAnsi="宋体" w:cs="宋体"/>
          <w:sz w:val="24"/>
        </w:rPr>
        <w:t>短信发送应能实时监测整个发送流程，准确定位当前发送状态，有效控制风险、提高工作效率。</w:t>
      </w:r>
    </w:p>
    <w:p>
      <w:pPr>
        <w:pStyle w:val="15"/>
        <w:spacing w:line="360" w:lineRule="auto"/>
        <w:ind w:firstLine="482" w:firstLineChars="200"/>
        <w:rPr>
          <w:rFonts w:ascii="宋体" w:hAnsi="宋体" w:cs="宋体"/>
          <w:b/>
          <w:bCs/>
          <w:sz w:val="24"/>
        </w:rPr>
      </w:pPr>
      <w:r>
        <w:rPr>
          <w:rFonts w:hint="eastAsia" w:ascii="宋体" w:hAnsi="宋体" w:cs="宋体"/>
          <w:b/>
          <w:bCs/>
          <w:sz w:val="24"/>
        </w:rPr>
        <w:t>高性能</w:t>
      </w:r>
    </w:p>
    <w:p>
      <w:pPr>
        <w:pStyle w:val="15"/>
        <w:spacing w:line="360" w:lineRule="auto"/>
        <w:ind w:firstLine="480" w:firstLineChars="200"/>
        <w:rPr>
          <w:rFonts w:ascii="宋体" w:hAnsi="宋体" w:cs="宋体"/>
          <w:sz w:val="24"/>
        </w:rPr>
      </w:pPr>
      <w:r>
        <w:rPr>
          <w:rFonts w:hint="eastAsia" w:ascii="宋体" w:hAnsi="宋体" w:cs="宋体"/>
          <w:sz w:val="24"/>
        </w:rPr>
        <w:t>系统须采用分布式集群体系架构。</w:t>
      </w:r>
    </w:p>
    <w:p>
      <w:pPr>
        <w:pStyle w:val="15"/>
        <w:spacing w:line="360" w:lineRule="auto"/>
        <w:ind w:firstLine="482" w:firstLineChars="200"/>
        <w:rPr>
          <w:rFonts w:ascii="宋体" w:hAnsi="宋体" w:cs="宋体"/>
          <w:b/>
          <w:bCs/>
          <w:sz w:val="24"/>
        </w:rPr>
      </w:pPr>
      <w:r>
        <w:rPr>
          <w:rFonts w:hint="eastAsia" w:ascii="宋体" w:hAnsi="宋体" w:cs="宋体"/>
          <w:b/>
          <w:bCs/>
          <w:sz w:val="24"/>
        </w:rPr>
        <w:t>高健壮性</w:t>
      </w:r>
    </w:p>
    <w:p>
      <w:pPr>
        <w:pStyle w:val="15"/>
        <w:spacing w:line="360" w:lineRule="auto"/>
        <w:ind w:firstLine="480" w:firstLineChars="200"/>
        <w:rPr>
          <w:rFonts w:ascii="宋体" w:hAnsi="宋体" w:cs="宋体"/>
          <w:sz w:val="24"/>
        </w:rPr>
      </w:pPr>
      <w:r>
        <w:rPr>
          <w:rFonts w:hint="eastAsia" w:ascii="宋体" w:hAnsi="宋体" w:cs="宋体"/>
          <w:sz w:val="24"/>
        </w:rPr>
        <w:t>具备系统宕机恢复功能，在系统运行过程中当设备或程序发生故障时，不会丢失发送中的数据及缓存中的数据，强大的高恢复性能保障数据的完整性及安全性。</w:t>
      </w:r>
    </w:p>
    <w:p>
      <w:pPr>
        <w:pStyle w:val="15"/>
        <w:spacing w:line="360" w:lineRule="auto"/>
        <w:ind w:firstLine="482" w:firstLineChars="200"/>
        <w:rPr>
          <w:rFonts w:ascii="宋体" w:hAnsi="宋体" w:cs="宋体"/>
          <w:b/>
          <w:bCs/>
          <w:sz w:val="24"/>
        </w:rPr>
      </w:pPr>
      <w:r>
        <w:rPr>
          <w:rFonts w:hint="eastAsia" w:ascii="宋体" w:hAnsi="宋体" w:cs="宋体"/>
          <w:b/>
          <w:bCs/>
          <w:sz w:val="24"/>
        </w:rPr>
        <w:t>兼容性</w:t>
      </w:r>
    </w:p>
    <w:p>
      <w:pPr>
        <w:pStyle w:val="15"/>
        <w:spacing w:line="360" w:lineRule="auto"/>
        <w:ind w:firstLine="480" w:firstLineChars="200"/>
        <w:rPr>
          <w:rFonts w:ascii="宋体" w:hAnsi="宋体" w:cs="宋体"/>
          <w:sz w:val="24"/>
        </w:rPr>
      </w:pPr>
      <w:r>
        <w:rPr>
          <w:rFonts w:hint="eastAsia" w:ascii="宋体" w:hAnsi="宋体" w:cs="宋体"/>
          <w:sz w:val="24"/>
        </w:rPr>
        <w:t>为保障已使用原有短信平台短信手法的业务系统能可靠、稳定地调用短信接口，须可兼容原有短信定制web service接口、标准SDK接口、HTTP接口的调用方式。</w:t>
      </w:r>
    </w:p>
    <w:p>
      <w:pPr>
        <w:pStyle w:val="15"/>
        <w:spacing w:line="360" w:lineRule="auto"/>
        <w:ind w:firstLine="482" w:firstLineChars="200"/>
        <w:rPr>
          <w:rFonts w:ascii="宋体" w:hAnsi="宋体" w:cs="宋体"/>
          <w:b/>
          <w:bCs/>
          <w:sz w:val="24"/>
        </w:rPr>
      </w:pPr>
      <w:r>
        <w:rPr>
          <w:rFonts w:hint="eastAsia" w:ascii="宋体" w:hAnsi="宋体" w:cs="宋体"/>
          <w:b/>
          <w:bCs/>
          <w:sz w:val="24"/>
        </w:rPr>
        <w:t>接口运行实时监控功能</w:t>
      </w:r>
    </w:p>
    <w:p>
      <w:pPr>
        <w:pStyle w:val="15"/>
        <w:spacing w:line="360" w:lineRule="auto"/>
        <w:ind w:firstLine="480" w:firstLineChars="200"/>
        <w:rPr>
          <w:rFonts w:ascii="宋体" w:hAnsi="宋体" w:cs="宋体"/>
          <w:sz w:val="24"/>
        </w:rPr>
      </w:pPr>
      <w:r>
        <w:rPr>
          <w:rFonts w:hint="eastAsia" w:ascii="宋体" w:hAnsi="宋体" w:cs="宋体"/>
          <w:sz w:val="24"/>
        </w:rPr>
        <w:t>以可视化的方式实时展示短信接口（运营商短信接口及短信调用接口）的运行状态，为各单位业务系统提供已发短信状态的查询功能，实现短信送达状态的全流程跟踪。</w:t>
      </w:r>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20" w:name="_Toc52093091"/>
      <w:bookmarkStart w:id="21" w:name="_Toc98949161"/>
      <w:r>
        <w:rPr>
          <w:rFonts w:hint="eastAsia" w:ascii="仿宋_GB2312" w:hAnsi="仿宋_GB2312"/>
        </w:rPr>
        <w:t>安全要求</w:t>
      </w:r>
      <w:bookmarkEnd w:id="20"/>
      <w:bookmarkEnd w:id="21"/>
    </w:p>
    <w:p>
      <w:pPr>
        <w:adjustRightInd w:val="0"/>
        <w:snapToGrid w:val="0"/>
        <w:spacing w:line="360" w:lineRule="auto"/>
        <w:ind w:firstLine="480" w:firstLineChars="200"/>
        <w:rPr>
          <w:rFonts w:ascii="宋体" w:hAnsi="宋体" w:cs="宋体"/>
          <w:sz w:val="24"/>
        </w:rPr>
      </w:pPr>
      <w:r>
        <w:rPr>
          <w:rFonts w:hint="eastAsia" w:ascii="宋体" w:hAnsi="宋体" w:cs="宋体"/>
          <w:sz w:val="24"/>
        </w:rPr>
        <w:t>在系统整体架构设计上要考虑保障各模块、数据库、中间件及应用等方面的安全性。具体需满足的内容包含但不限于以下几个方面：</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权限管理。应具备即时生效的用户权限分配与管理功能，支持按角色或账户进行权限管理与分配。</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数据保密性。应支持标准化加密传输协议，确保在短信传输过程中数据传输及存储的完整性和保密性。</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备份恢复方面。应提供灾备及验证方案，提供健全的备份恢复机制，能够提供定期备份功能。</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系统集成实现无缝集成，最大限度减少用户操作环节。</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能够采用加密技术对传输、存储的关键数据加密。</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对所有可以登录系统的终端IP地址、所属部门、所安装的系统及版本、有效时间、允许使用时段进行注册管理。登录系统时必须检查终端IP的合法性。</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数据访问：对于用户数据能够按照级别进行管理，对于相同秘密级别的数据不同的应用场合应该解释一致。对于秘密数据的访问权限可配置到人或组，可以单独赋予也可以单独剥夺某项其访问权限。</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支持数据变形及脱敏机制，可实现对数据的安全存储及访问。系统符合国家相关安全标准，审计时不出现应用层面的漏洞。</w:t>
      </w:r>
    </w:p>
    <w:p>
      <w:pPr>
        <w:pStyle w:val="4"/>
        <w:numPr>
          <w:ilvl w:val="0"/>
          <w:numId w:val="4"/>
        </w:numPr>
        <w:tabs>
          <w:tab w:val="left" w:pos="420"/>
          <w:tab w:val="left" w:pos="567"/>
        </w:tabs>
        <w:spacing w:before="0" w:after="0"/>
        <w:jc w:val="left"/>
      </w:pPr>
      <w:r>
        <w:rPr>
          <w:rFonts w:hint="eastAsia"/>
        </w:rPr>
        <w:t>服务周期</w:t>
      </w:r>
    </w:p>
    <w:p>
      <w:pPr>
        <w:pStyle w:val="15"/>
        <w:spacing w:line="360" w:lineRule="auto"/>
        <w:ind w:firstLine="480" w:firstLineChars="200"/>
        <w:rPr>
          <w:rFonts w:ascii="宋体" w:hAnsi="宋体" w:cs="宋体"/>
          <w:sz w:val="24"/>
        </w:rPr>
      </w:pPr>
      <w:r>
        <w:rPr>
          <w:rFonts w:hint="eastAsia" w:ascii="宋体" w:hAnsi="宋体" w:cs="宋体"/>
          <w:sz w:val="24"/>
        </w:rPr>
        <w:t>自合同生效之日起</w:t>
      </w:r>
      <w:r>
        <w:rPr>
          <w:rFonts w:ascii="宋体" w:hAnsi="宋体" w:cs="宋体"/>
          <w:sz w:val="24"/>
        </w:rPr>
        <w:t>10</w:t>
      </w:r>
      <w:r>
        <w:rPr>
          <w:rFonts w:hint="eastAsia" w:ascii="宋体" w:hAnsi="宋体" w:cs="宋体"/>
          <w:sz w:val="24"/>
        </w:rPr>
        <w:t>个工作日内完成相关监控平台部署和对接，并在完成后</w:t>
      </w:r>
      <w:r>
        <w:rPr>
          <w:rFonts w:ascii="宋体" w:hAnsi="宋体" w:cs="宋体"/>
          <w:sz w:val="24"/>
        </w:rPr>
        <w:t>10</w:t>
      </w:r>
      <w:r>
        <w:rPr>
          <w:rFonts w:hint="eastAsia" w:ascii="宋体" w:hAnsi="宋体" w:cs="宋体"/>
          <w:sz w:val="24"/>
        </w:rPr>
        <w:t>个工作日内完成验收。完整服务周期为合同生效之日起</w:t>
      </w:r>
      <w:r>
        <w:rPr>
          <w:rFonts w:ascii="宋体" w:hAnsi="宋体" w:cs="宋体"/>
          <w:sz w:val="24"/>
        </w:rPr>
        <w:t>1</w:t>
      </w:r>
      <w:r>
        <w:rPr>
          <w:rFonts w:hint="eastAsia" w:ascii="宋体" w:hAnsi="宋体" w:cs="宋体"/>
          <w:sz w:val="24"/>
        </w:rPr>
        <w:t>年。</w:t>
      </w:r>
    </w:p>
    <w:p>
      <w:pPr>
        <w:pStyle w:val="4"/>
        <w:numPr>
          <w:ilvl w:val="0"/>
          <w:numId w:val="4"/>
        </w:numPr>
        <w:tabs>
          <w:tab w:val="left" w:pos="420"/>
          <w:tab w:val="left" w:pos="567"/>
        </w:tabs>
        <w:spacing w:before="0" w:after="0"/>
        <w:jc w:val="left"/>
      </w:pPr>
      <w:r>
        <w:rPr>
          <w:rFonts w:hint="eastAsia"/>
        </w:rPr>
        <w:t>培训要求</w:t>
      </w:r>
    </w:p>
    <w:p>
      <w:pPr>
        <w:pStyle w:val="15"/>
        <w:spacing w:line="360" w:lineRule="auto"/>
        <w:ind w:firstLine="480" w:firstLineChars="200"/>
        <w:rPr>
          <w:rFonts w:ascii="宋体" w:hAnsi="宋体" w:cs="宋体"/>
          <w:sz w:val="24"/>
        </w:rPr>
      </w:pPr>
      <w:r>
        <w:rPr>
          <w:rFonts w:hint="eastAsia" w:ascii="宋体" w:hAnsi="宋体" w:cs="宋体"/>
          <w:sz w:val="24"/>
        </w:rPr>
        <w:t>供应商应提供完备的培训计划，确保参训人员能够理解系统功能、操作流程、统计分析、信息查询等功能。培训费用由供应商负责，培训教师由供应商派遣资深培训人员与专业技术、开发人员担任。培训须在合同签订后征得招标人同意后实施。</w:t>
      </w:r>
    </w:p>
    <w:p>
      <w:pPr>
        <w:pStyle w:val="15"/>
        <w:spacing w:line="360" w:lineRule="auto"/>
        <w:ind w:firstLine="480" w:firstLineChars="200"/>
        <w:rPr>
          <w:sz w:val="24"/>
        </w:rPr>
      </w:pPr>
      <w:r>
        <w:rPr>
          <w:rFonts w:hint="eastAsia"/>
          <w:sz w:val="24"/>
        </w:rPr>
        <w:t>培训对象：业务平台工作人员，管理人员，一般使用人员，运维服务人员。</w:t>
      </w:r>
    </w:p>
    <w:p>
      <w:pPr>
        <w:pStyle w:val="15"/>
        <w:spacing w:line="360" w:lineRule="auto"/>
        <w:ind w:firstLine="480" w:firstLineChars="200"/>
        <w:rPr>
          <w:sz w:val="24"/>
        </w:rPr>
      </w:pPr>
      <w:r>
        <w:rPr>
          <w:rFonts w:hint="eastAsia"/>
          <w:sz w:val="24"/>
        </w:rPr>
        <w:t>培训内容：与本服务相关的全部内容。</w:t>
      </w:r>
    </w:p>
    <w:p>
      <w:pPr>
        <w:pStyle w:val="15"/>
        <w:spacing w:line="360" w:lineRule="auto"/>
        <w:ind w:firstLine="480" w:firstLineChars="200"/>
        <w:rPr>
          <w:rFonts w:ascii="宋体" w:hAnsi="宋体" w:cs="宋体"/>
          <w:sz w:val="24"/>
        </w:rPr>
      </w:pPr>
      <w:r>
        <w:rPr>
          <w:rFonts w:hint="eastAsia"/>
          <w:sz w:val="24"/>
        </w:rPr>
        <w:t>培训方式包括：技术课程采用集中技术理论课程讲授与现场实践技能培养相结合的培训方式，应用推广采用逐级集中培训的方法。</w:t>
      </w:r>
    </w:p>
    <w:p>
      <w:pPr>
        <w:pStyle w:val="4"/>
        <w:numPr>
          <w:ilvl w:val="0"/>
          <w:numId w:val="4"/>
        </w:numPr>
        <w:tabs>
          <w:tab w:val="left" w:pos="420"/>
          <w:tab w:val="left" w:pos="567"/>
        </w:tabs>
        <w:spacing w:before="0" w:after="0"/>
        <w:jc w:val="left"/>
      </w:pPr>
      <w:bookmarkStart w:id="22" w:name="_Toc104800999"/>
      <w:bookmarkStart w:id="23" w:name="_Toc82700984"/>
      <w:r>
        <w:rPr>
          <w:rFonts w:hint="eastAsia"/>
        </w:rPr>
        <w:t>项目</w:t>
      </w:r>
      <w:bookmarkEnd w:id="22"/>
      <w:bookmarkEnd w:id="23"/>
      <w:r>
        <w:rPr>
          <w:rFonts w:hint="eastAsia"/>
        </w:rPr>
        <w:t>报价</w:t>
      </w:r>
    </w:p>
    <w:p>
      <w:pPr>
        <w:pStyle w:val="15"/>
        <w:spacing w:line="360" w:lineRule="auto"/>
        <w:ind w:firstLine="480" w:firstLineChars="200"/>
        <w:rPr>
          <w:sz w:val="24"/>
        </w:rPr>
      </w:pPr>
      <w:r>
        <w:rPr>
          <w:rFonts w:hint="eastAsia"/>
          <w:sz w:val="24"/>
        </w:rPr>
        <w:t>总投资预算为</w:t>
      </w:r>
      <w:r>
        <w:rPr>
          <w:sz w:val="24"/>
        </w:rPr>
        <w:t>45</w:t>
      </w:r>
      <w:r>
        <w:rPr>
          <w:rFonts w:hint="eastAsia"/>
          <w:sz w:val="24"/>
        </w:rPr>
        <w:t>万元人民币。供应商按照功能分项报价，每个功能最高报价不能超过当前功能价格，按照分项功能价格汇总计算总价。</w:t>
      </w:r>
    </w:p>
    <w:p>
      <w:pPr>
        <w:pStyle w:val="15"/>
        <w:spacing w:line="360" w:lineRule="auto"/>
        <w:ind w:firstLine="480" w:firstLineChars="200"/>
        <w:rPr>
          <w:sz w:val="24"/>
        </w:rPr>
      </w:pPr>
      <w:r>
        <w:rPr>
          <w:rFonts w:hint="eastAsia"/>
          <w:sz w:val="24"/>
        </w:rPr>
        <w:t>具体费用如下：</w:t>
      </w:r>
    </w:p>
    <w:tbl>
      <w:tblPr>
        <w:tblStyle w:val="9"/>
        <w:tblW w:w="48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525"/>
        <w:gridCol w:w="4399"/>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91" w:type="pct"/>
            <w:shd w:val="clear" w:color="auto" w:fill="DEEAF6" w:themeFill="accent1" w:themeFillTint="33"/>
            <w:vAlign w:val="center"/>
          </w:tcPr>
          <w:p>
            <w:pPr>
              <w:jc w:val="center"/>
              <w:rPr>
                <w:rFonts w:cs="宋体"/>
                <w:b/>
                <w:sz w:val="20"/>
                <w:szCs w:val="20"/>
              </w:rPr>
            </w:pPr>
            <w:r>
              <w:rPr>
                <w:rFonts w:hint="eastAsia" w:cs="宋体"/>
                <w:b/>
                <w:sz w:val="20"/>
                <w:szCs w:val="20"/>
              </w:rPr>
              <w:t>序号</w:t>
            </w:r>
          </w:p>
        </w:tc>
        <w:tc>
          <w:tcPr>
            <w:tcW w:w="867" w:type="pct"/>
            <w:shd w:val="clear" w:color="auto" w:fill="DEEAF6" w:themeFill="accent1" w:themeFillTint="33"/>
            <w:vAlign w:val="center"/>
          </w:tcPr>
          <w:p>
            <w:pPr>
              <w:jc w:val="center"/>
              <w:rPr>
                <w:rFonts w:cs="宋体"/>
                <w:b/>
                <w:sz w:val="20"/>
                <w:szCs w:val="20"/>
              </w:rPr>
            </w:pPr>
            <w:r>
              <w:rPr>
                <w:rFonts w:hint="eastAsia" w:cs="宋体"/>
                <w:b/>
                <w:sz w:val="20"/>
                <w:szCs w:val="20"/>
              </w:rPr>
              <w:t>功能名称</w:t>
            </w:r>
          </w:p>
        </w:tc>
        <w:tc>
          <w:tcPr>
            <w:tcW w:w="2501" w:type="pct"/>
            <w:shd w:val="clear" w:color="auto" w:fill="DEEAF6" w:themeFill="accent1" w:themeFillTint="33"/>
            <w:vAlign w:val="center"/>
          </w:tcPr>
          <w:p>
            <w:pPr>
              <w:jc w:val="center"/>
              <w:rPr>
                <w:rFonts w:cs="宋体"/>
                <w:b/>
                <w:sz w:val="20"/>
                <w:szCs w:val="20"/>
              </w:rPr>
            </w:pPr>
            <w:r>
              <w:rPr>
                <w:rFonts w:hint="eastAsia" w:cs="宋体"/>
                <w:b/>
                <w:sz w:val="20"/>
                <w:szCs w:val="20"/>
              </w:rPr>
              <w:t>功能简述</w:t>
            </w:r>
          </w:p>
        </w:tc>
        <w:tc>
          <w:tcPr>
            <w:tcW w:w="1042" w:type="pct"/>
            <w:shd w:val="clear" w:color="auto" w:fill="DEEAF6" w:themeFill="accent1" w:themeFillTint="33"/>
            <w:vAlign w:val="center"/>
          </w:tcPr>
          <w:p>
            <w:pPr>
              <w:jc w:val="center"/>
              <w:rPr>
                <w:rFonts w:cs="宋体"/>
                <w:b/>
                <w:sz w:val="20"/>
                <w:szCs w:val="20"/>
              </w:rPr>
            </w:pPr>
            <w:r>
              <w:rPr>
                <w:rFonts w:hint="eastAsia" w:cs="宋体"/>
                <w:b/>
                <w:sz w:val="20"/>
                <w:szCs w:val="20"/>
              </w:rPr>
              <w:t>功能价格（万）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91" w:type="pct"/>
            <w:vAlign w:val="center"/>
          </w:tcPr>
          <w:p>
            <w:pPr>
              <w:jc w:val="center"/>
              <w:rPr>
                <w:rFonts w:cs="宋体"/>
                <w:sz w:val="20"/>
                <w:szCs w:val="20"/>
              </w:rPr>
            </w:pPr>
            <w:r>
              <w:rPr>
                <w:rFonts w:hint="eastAsia" w:cs="宋体"/>
                <w:sz w:val="20"/>
                <w:szCs w:val="20"/>
              </w:rPr>
              <w:t>1</w:t>
            </w:r>
          </w:p>
        </w:tc>
        <w:tc>
          <w:tcPr>
            <w:tcW w:w="867" w:type="pct"/>
            <w:vAlign w:val="center"/>
          </w:tcPr>
          <w:p>
            <w:pPr>
              <w:jc w:val="center"/>
              <w:rPr>
                <w:rFonts w:cs="宋体"/>
                <w:sz w:val="20"/>
                <w:szCs w:val="20"/>
              </w:rPr>
            </w:pPr>
            <w:r>
              <w:rPr>
                <w:rFonts w:hint="eastAsia" w:cs="宋体"/>
                <w:sz w:val="20"/>
                <w:szCs w:val="20"/>
              </w:rPr>
              <w:t>运维和实时监控服务</w:t>
            </w:r>
          </w:p>
        </w:tc>
        <w:tc>
          <w:tcPr>
            <w:tcW w:w="2501" w:type="pct"/>
            <w:vAlign w:val="center"/>
          </w:tcPr>
          <w:p>
            <w:r>
              <w:rPr>
                <w:rFonts w:hint="eastAsia"/>
              </w:rPr>
              <w:t>对现有政务外网和互联网短信平台提供运维服务；</w:t>
            </w:r>
          </w:p>
          <w:p>
            <w:r>
              <w:rPr>
                <w:rFonts w:hint="eastAsia"/>
              </w:rPr>
              <w:t>7*24小时实时监控短信发送情况，及时解决发现的问题。</w:t>
            </w:r>
          </w:p>
        </w:tc>
        <w:tc>
          <w:tcPr>
            <w:tcW w:w="1042" w:type="pct"/>
            <w:vAlign w:val="center"/>
          </w:tcPr>
          <w:p>
            <w:pPr>
              <w:jc w:val="center"/>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91" w:type="pct"/>
            <w:vAlign w:val="center"/>
          </w:tcPr>
          <w:p>
            <w:pPr>
              <w:jc w:val="center"/>
              <w:rPr>
                <w:rFonts w:cs="宋体"/>
                <w:sz w:val="20"/>
                <w:szCs w:val="20"/>
              </w:rPr>
            </w:pPr>
            <w:r>
              <w:rPr>
                <w:rFonts w:cs="宋体"/>
                <w:sz w:val="20"/>
                <w:szCs w:val="20"/>
              </w:rPr>
              <w:t>2</w:t>
            </w:r>
          </w:p>
        </w:tc>
        <w:tc>
          <w:tcPr>
            <w:tcW w:w="867" w:type="pct"/>
            <w:vAlign w:val="center"/>
          </w:tcPr>
          <w:p>
            <w:pPr>
              <w:jc w:val="center"/>
              <w:rPr>
                <w:rFonts w:cs="宋体"/>
                <w:sz w:val="20"/>
                <w:szCs w:val="20"/>
              </w:rPr>
            </w:pPr>
            <w:r>
              <w:rPr>
                <w:rFonts w:hint="eastAsia" w:cs="宋体"/>
                <w:sz w:val="20"/>
                <w:szCs w:val="20"/>
              </w:rPr>
              <w:t>短信发送</w:t>
            </w:r>
          </w:p>
        </w:tc>
        <w:tc>
          <w:tcPr>
            <w:tcW w:w="2501" w:type="pct"/>
            <w:vAlign w:val="center"/>
          </w:tcPr>
          <w:p>
            <w:pPr>
              <w:tabs>
                <w:tab w:val="left" w:pos="470"/>
              </w:tabs>
              <w:rPr>
                <w:rFonts w:cs="宋体"/>
                <w:sz w:val="20"/>
                <w:szCs w:val="20"/>
              </w:rPr>
            </w:pPr>
            <w:r>
              <w:rPr>
                <w:rFonts w:hint="eastAsia" w:cs="宋体"/>
                <w:sz w:val="20"/>
                <w:szCs w:val="20"/>
              </w:rPr>
              <w:t>每条成功短信费用不高于0</w:t>
            </w:r>
            <w:r>
              <w:rPr>
                <w:rFonts w:cs="宋体"/>
                <w:sz w:val="20"/>
                <w:szCs w:val="20"/>
              </w:rPr>
              <w:t>.04</w:t>
            </w:r>
            <w:r>
              <w:rPr>
                <w:rFonts w:hint="eastAsia" w:cs="宋体"/>
                <w:sz w:val="20"/>
                <w:szCs w:val="20"/>
              </w:rPr>
              <w:t>元。每年发送总量预计1</w:t>
            </w:r>
            <w:r>
              <w:rPr>
                <w:rFonts w:cs="宋体"/>
                <w:sz w:val="20"/>
                <w:szCs w:val="20"/>
              </w:rPr>
              <w:t>000</w:t>
            </w:r>
            <w:r>
              <w:rPr>
                <w:rFonts w:hint="eastAsia" w:cs="宋体"/>
                <w:sz w:val="20"/>
                <w:szCs w:val="20"/>
              </w:rPr>
              <w:t>万条。</w:t>
            </w:r>
          </w:p>
          <w:p>
            <w:pPr>
              <w:tabs>
                <w:tab w:val="left" w:pos="470"/>
              </w:tabs>
              <w:rPr>
                <w:rFonts w:cs="宋体"/>
                <w:sz w:val="20"/>
                <w:szCs w:val="20"/>
              </w:rPr>
            </w:pPr>
            <w:r>
              <w:rPr>
                <w:rFonts w:hint="eastAsia" w:cs="宋体"/>
                <w:sz w:val="20"/>
                <w:szCs w:val="20"/>
              </w:rPr>
              <w:t>按照实际情况，每月统计各部门短信发送成功量，按照单条价格计算支付费用。</w:t>
            </w:r>
          </w:p>
        </w:tc>
        <w:tc>
          <w:tcPr>
            <w:tcW w:w="1042" w:type="pct"/>
            <w:vAlign w:val="center"/>
          </w:tcPr>
          <w:p>
            <w:pPr>
              <w:tabs>
                <w:tab w:val="left" w:pos="470"/>
              </w:tabs>
              <w:jc w:val="center"/>
              <w:rPr>
                <w:rFonts w:cs="宋体"/>
                <w:sz w:val="20"/>
                <w:szCs w:val="20"/>
              </w:rPr>
            </w:pPr>
            <w:r>
              <w:rPr>
                <w:rFonts w:hint="eastAsia" w:cs="宋体"/>
                <w:sz w:val="20"/>
                <w:szCs w:val="20"/>
              </w:rPr>
              <w:t>4</w:t>
            </w:r>
            <w:r>
              <w:rPr>
                <w:rFonts w:cs="宋体"/>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3958" w:type="pct"/>
            <w:gridSpan w:val="3"/>
            <w:vAlign w:val="center"/>
          </w:tcPr>
          <w:p>
            <w:pPr>
              <w:tabs>
                <w:tab w:val="left" w:pos="470"/>
              </w:tabs>
              <w:jc w:val="center"/>
              <w:rPr>
                <w:rFonts w:cs="宋体"/>
                <w:sz w:val="20"/>
                <w:szCs w:val="20"/>
              </w:rPr>
            </w:pPr>
            <w:r>
              <w:rPr>
                <w:rFonts w:hint="eastAsia" w:cs="宋体"/>
                <w:sz w:val="20"/>
                <w:szCs w:val="20"/>
              </w:rPr>
              <w:t>总计：</w:t>
            </w:r>
          </w:p>
        </w:tc>
        <w:tc>
          <w:tcPr>
            <w:tcW w:w="1042" w:type="pct"/>
            <w:vAlign w:val="center"/>
          </w:tcPr>
          <w:p>
            <w:pPr>
              <w:tabs>
                <w:tab w:val="left" w:pos="470"/>
              </w:tabs>
              <w:jc w:val="center"/>
              <w:rPr>
                <w:rFonts w:cs="宋体"/>
                <w:sz w:val="20"/>
                <w:szCs w:val="20"/>
              </w:rPr>
            </w:pPr>
            <w:r>
              <w:rPr>
                <w:rFonts w:hint="eastAsia" w:cs="宋体"/>
                <w:sz w:val="20"/>
                <w:szCs w:val="20"/>
              </w:rPr>
              <w:t>4</w:t>
            </w:r>
            <w:r>
              <w:rPr>
                <w:rFonts w:cs="宋体"/>
                <w:sz w:val="20"/>
                <w:szCs w:val="20"/>
              </w:rPr>
              <w:t>5</w:t>
            </w:r>
          </w:p>
        </w:tc>
      </w:tr>
    </w:tbl>
    <w:p>
      <w:pPr>
        <w:pStyle w:val="4"/>
        <w:numPr>
          <w:ilvl w:val="0"/>
          <w:numId w:val="4"/>
        </w:numPr>
        <w:tabs>
          <w:tab w:val="left" w:pos="420"/>
          <w:tab w:val="left" w:pos="567"/>
        </w:tabs>
        <w:spacing w:before="0" w:after="0"/>
        <w:jc w:val="left"/>
      </w:pPr>
      <w:r>
        <w:rPr>
          <w:rFonts w:hint="eastAsia"/>
        </w:rPr>
        <w:t>付款方式</w:t>
      </w:r>
    </w:p>
    <w:p>
      <w:pPr>
        <w:pStyle w:val="15"/>
        <w:spacing w:line="360" w:lineRule="auto"/>
        <w:ind w:firstLine="480" w:firstLineChars="200"/>
        <w:rPr>
          <w:sz w:val="24"/>
        </w:rPr>
      </w:pPr>
      <w:r>
        <w:rPr>
          <w:rFonts w:hint="eastAsia"/>
          <w:sz w:val="24"/>
        </w:rPr>
        <w:t>每月按照招标单价计算短信总费用，按照实际价格支付（单个部门总短信费用超过1</w:t>
      </w:r>
      <w:r>
        <w:rPr>
          <w:sz w:val="24"/>
        </w:rPr>
        <w:t>000</w:t>
      </w:r>
      <w:r>
        <w:rPr>
          <w:rFonts w:hint="eastAsia"/>
          <w:sz w:val="24"/>
        </w:rPr>
        <w:t>元的，由部门单独支付）；运维服务和实时监控费用在每年合同结束后1</w:t>
      </w:r>
      <w:r>
        <w:rPr>
          <w:sz w:val="24"/>
        </w:rPr>
        <w:t>5</w:t>
      </w:r>
      <w:r>
        <w:rPr>
          <w:rFonts w:hint="eastAsia"/>
          <w:sz w:val="24"/>
        </w:rPr>
        <w:t>个工作日内支付。</w:t>
      </w:r>
    </w:p>
    <w:p>
      <w:pPr>
        <w:pStyle w:val="15"/>
        <w:spacing w:line="360" w:lineRule="auto"/>
        <w:ind w:firstLine="480" w:firstLineChars="200"/>
        <w:rPr>
          <w:sz w:val="24"/>
        </w:rPr>
      </w:pPr>
      <w:r>
        <w:rPr>
          <w:rFonts w:hint="eastAsia"/>
          <w:sz w:val="24"/>
        </w:rPr>
        <w:t>运维出现重大事故，如平台原因导致正常发送短信超过1小时，扣除本年度运维和实时监控服务费用</w:t>
      </w:r>
      <w:r>
        <w:rPr>
          <w:sz w:val="24"/>
        </w:rPr>
        <w:t>20%</w:t>
      </w:r>
      <w:r>
        <w:rPr>
          <w:rFonts w:hint="eastAsia"/>
          <w:sz w:val="24"/>
        </w:rPr>
        <w:t>，出现三次，扣除全年运维和实时监控服务费用。</w:t>
      </w:r>
    </w:p>
    <w:p>
      <w:pPr>
        <w:pStyle w:val="2"/>
        <w:numPr>
          <w:ilvl w:val="0"/>
          <w:numId w:val="0"/>
        </w:numPr>
        <w:jc w:val="both"/>
      </w:pP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下列关于泰州市政府采购XXX（项目编号）的采购文件、响应文件或与本次采购活动方式相适应的文件及有关附件是本合同不可分割的组成部分，与本合同具有同等法律效力，这些文件包括但不限于：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871"/>
        <w:gridCol w:w="5989"/>
        <w:gridCol w:w="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序号</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评分点</w:t>
            </w:r>
          </w:p>
        </w:tc>
        <w:tc>
          <w:tcPr>
            <w:tcW w:w="59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评审标准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szCs w:val="21"/>
              </w:rPr>
              <w:t>价格</w:t>
            </w:r>
          </w:p>
        </w:tc>
        <w:tc>
          <w:tcPr>
            <w:tcW w:w="5989"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Cs w:val="21"/>
              </w:rPr>
            </w:pPr>
            <w:r>
              <w:rPr>
                <w:rFonts w:hint="eastAsia"/>
                <w:szCs w:val="21"/>
              </w:rPr>
              <w:t>评标基准价。满足招标文件要求且报价最低的投标报价为评标基准价，其价格为满分。其他投标人的价格分按照下列公式计算：投标报价得分＝（评标基准价/投标报价）×10分（小数点后保留两位，第三位四舍五入）。投标供应商所投分项报价均不得超过分项预算，否则做无效投标处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2</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商务部分</w:t>
            </w:r>
          </w:p>
        </w:tc>
        <w:tc>
          <w:tcPr>
            <w:tcW w:w="5989" w:type="dxa"/>
            <w:tcBorders>
              <w:top w:val="single" w:color="auto" w:sz="4" w:space="0"/>
              <w:left w:val="single" w:color="auto" w:sz="4" w:space="0"/>
              <w:bottom w:val="single" w:color="auto" w:sz="4" w:space="0"/>
              <w:right w:val="single" w:color="auto" w:sz="4" w:space="0"/>
            </w:tcBorders>
            <w:vAlign w:val="center"/>
          </w:tcPr>
          <w:p>
            <w:pPr>
              <w:spacing w:line="0" w:lineRule="atLeast"/>
              <w:rPr>
                <w:rFonts w:ascii="宋体" w:hAnsi="宋体" w:cs="宋体"/>
              </w:rPr>
            </w:pPr>
            <w:r>
              <w:rPr>
                <w:rFonts w:hint="eastAsia" w:ascii="宋体" w:hAnsi="宋体" w:cs="宋体"/>
              </w:rPr>
              <w:t>具有有效的ISO9001质量管理体系认证证书得</w:t>
            </w:r>
            <w:r>
              <w:rPr>
                <w:rFonts w:ascii="宋体" w:hAnsi="宋体" w:cs="宋体"/>
              </w:rPr>
              <w:t>3</w:t>
            </w:r>
            <w:r>
              <w:rPr>
                <w:rFonts w:hint="eastAsia" w:ascii="宋体" w:hAnsi="宋体" w:cs="宋体"/>
              </w:rPr>
              <w:t>分；</w:t>
            </w:r>
          </w:p>
          <w:p>
            <w:pPr>
              <w:spacing w:line="0" w:lineRule="atLeast"/>
              <w:rPr>
                <w:rFonts w:ascii="宋体" w:hAnsi="宋体" w:cs="宋体"/>
              </w:rPr>
            </w:pPr>
            <w:r>
              <w:rPr>
                <w:rFonts w:hint="eastAsia" w:ascii="宋体" w:hAnsi="宋体" w:cs="宋体"/>
              </w:rPr>
              <w:t>具有有效的ISO20000信息技术服务管理体系认证证书得</w:t>
            </w:r>
            <w:r>
              <w:rPr>
                <w:rFonts w:ascii="宋体" w:hAnsi="宋体" w:cs="宋体"/>
              </w:rPr>
              <w:t>3</w:t>
            </w:r>
            <w:r>
              <w:rPr>
                <w:rFonts w:hint="eastAsia" w:ascii="宋体" w:hAnsi="宋体" w:cs="宋体"/>
              </w:rPr>
              <w:t>分；</w:t>
            </w:r>
          </w:p>
          <w:p>
            <w:pPr>
              <w:spacing w:line="0" w:lineRule="atLeast"/>
              <w:rPr>
                <w:rFonts w:ascii="宋体" w:hAnsi="宋体" w:cs="宋体"/>
              </w:rPr>
            </w:pPr>
            <w:r>
              <w:rPr>
                <w:rFonts w:hint="eastAsia" w:ascii="宋体" w:hAnsi="宋体" w:cs="宋体"/>
              </w:rPr>
              <w:t>具有有效的ISO27001信息安全管理体系认证证书得</w:t>
            </w:r>
            <w:r>
              <w:rPr>
                <w:rFonts w:ascii="宋体" w:hAnsi="宋体" w:cs="宋体"/>
              </w:rPr>
              <w:t>3</w:t>
            </w:r>
            <w:r>
              <w:rPr>
                <w:rFonts w:hint="eastAsia" w:ascii="宋体" w:hAnsi="宋体" w:cs="宋体"/>
              </w:rPr>
              <w:t>分；</w:t>
            </w:r>
          </w:p>
          <w:p>
            <w:pPr>
              <w:widowControl/>
              <w:rPr>
                <w:rFonts w:ascii="宋体" w:hAnsi="宋体"/>
                <w:szCs w:val="21"/>
              </w:rPr>
            </w:pPr>
            <w:r>
              <w:rPr>
                <w:rFonts w:hint="eastAsia" w:ascii="宋体" w:hAnsi="宋体" w:cs="宋体"/>
              </w:rPr>
              <w:t>投标人具有《信息技术服务运行维护标准符合性证书（ITSS）》</w:t>
            </w:r>
            <w:r>
              <w:rPr>
                <w:rFonts w:hint="eastAsia" w:ascii="宋体" w:hAnsi="宋体"/>
                <w:szCs w:val="21"/>
              </w:rPr>
              <w:t>二级及以上得</w:t>
            </w:r>
            <w:r>
              <w:rPr>
                <w:rFonts w:ascii="宋体" w:hAnsi="宋体"/>
                <w:szCs w:val="21"/>
              </w:rPr>
              <w:t>3</w:t>
            </w:r>
            <w:r>
              <w:rPr>
                <w:rFonts w:hint="eastAsia" w:ascii="宋体" w:hAnsi="宋体"/>
                <w:szCs w:val="21"/>
              </w:rPr>
              <w:t>分，低于二级不得分；</w:t>
            </w:r>
          </w:p>
          <w:p>
            <w:pPr>
              <w:widowControl/>
              <w:rPr>
                <w:rFonts w:ascii="宋体" w:hAnsi="宋体"/>
                <w:szCs w:val="21"/>
              </w:rPr>
            </w:pPr>
            <w:r>
              <w:rPr>
                <w:rFonts w:hint="eastAsia" w:ascii="宋体" w:hAnsi="宋体"/>
                <w:szCs w:val="21"/>
              </w:rPr>
              <w:t>具备信息安全服务能力，获得CCRC信息安全服务资质认证证书得</w:t>
            </w:r>
            <w:r>
              <w:rPr>
                <w:rFonts w:ascii="宋体" w:hAnsi="宋体"/>
                <w:szCs w:val="21"/>
              </w:rPr>
              <w:t>3</w:t>
            </w:r>
            <w:r>
              <w:rPr>
                <w:rFonts w:hint="eastAsia" w:ascii="宋体" w:hAnsi="宋体"/>
                <w:szCs w:val="21"/>
              </w:rPr>
              <w:t>分；</w:t>
            </w:r>
          </w:p>
          <w:p>
            <w:pPr>
              <w:widowControl/>
              <w:rPr>
                <w:rFonts w:ascii="宋体" w:hAnsi="宋体" w:cs="宋体"/>
              </w:rPr>
            </w:pPr>
            <w:r>
              <w:rPr>
                <w:rFonts w:hint="eastAsia" w:ascii="宋体" w:hAnsi="宋体"/>
                <w:szCs w:val="21"/>
              </w:rPr>
              <w:t>（所有证明材料需提供复印件，并加盖公章）</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3</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案例</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olor w:val="000000"/>
                <w:szCs w:val="21"/>
              </w:rPr>
            </w:pPr>
            <w:r>
              <w:rPr>
                <w:rFonts w:hint="eastAsia" w:ascii="宋体" w:hAnsi="宋体" w:cs="宋体"/>
                <w:szCs w:val="21"/>
              </w:rPr>
              <w:t>供应商2020年以来完成的同类型短信项目建设或服务经验</w:t>
            </w:r>
            <w:r>
              <w:rPr>
                <w:rFonts w:hint="eastAsia" w:ascii="宋体" w:hAnsi="宋体"/>
                <w:color w:val="000000"/>
                <w:szCs w:val="21"/>
              </w:rPr>
              <w:t>（提供合同复印件并加盖公章），</w:t>
            </w:r>
            <w:r>
              <w:rPr>
                <w:rFonts w:hint="eastAsia" w:ascii="宋体" w:hAnsi="宋体" w:cs="宋体"/>
                <w:szCs w:val="21"/>
              </w:rPr>
              <w:t>每提供一个项目经验得2分，最高得10分。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4</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软件著作权</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szCs w:val="21"/>
              </w:rPr>
            </w:pPr>
            <w:r>
              <w:rPr>
                <w:rFonts w:hint="eastAsia" w:ascii="宋体" w:hAnsi="宋体" w:cs="宋体"/>
                <w:szCs w:val="21"/>
              </w:rPr>
              <w:t>为保障短信平台日常监控，供应商应提供短信平台配套的监控软件，具有自主知识产权，提供运维监控软件著作权证书，得</w:t>
            </w:r>
            <w:r>
              <w:rPr>
                <w:rFonts w:ascii="宋体" w:hAnsi="宋体" w:cs="宋体"/>
                <w:szCs w:val="21"/>
              </w:rPr>
              <w:t>3</w:t>
            </w:r>
            <w:r>
              <w:rPr>
                <w:rFonts w:hint="eastAsia" w:ascii="宋体" w:hAnsi="宋体" w:cs="宋体"/>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5</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合作协议</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olor w:val="000000"/>
                <w:szCs w:val="21"/>
              </w:rPr>
            </w:pPr>
            <w:r>
              <w:rPr>
                <w:rFonts w:hint="eastAsia" w:ascii="宋体" w:hAnsi="宋体" w:cs="宋体"/>
                <w:szCs w:val="21"/>
              </w:rPr>
              <w:t>供应商有效期内跟运营商（移动、电信、联通）的合作协议</w:t>
            </w:r>
            <w:r>
              <w:rPr>
                <w:rFonts w:hint="eastAsia" w:ascii="宋体" w:hAnsi="宋体"/>
                <w:color w:val="000000"/>
                <w:szCs w:val="21"/>
              </w:rPr>
              <w:t>，</w:t>
            </w:r>
            <w:r>
              <w:rPr>
                <w:rFonts w:hint="eastAsia" w:ascii="宋体" w:hAnsi="宋体" w:cs="宋体"/>
                <w:szCs w:val="21"/>
              </w:rPr>
              <w:t>每提供一类协议得</w:t>
            </w:r>
            <w:r>
              <w:rPr>
                <w:rFonts w:ascii="宋体" w:hAnsi="宋体" w:cs="宋体"/>
                <w:szCs w:val="21"/>
              </w:rPr>
              <w:t>5</w:t>
            </w:r>
            <w:r>
              <w:rPr>
                <w:rFonts w:hint="eastAsia" w:ascii="宋体" w:hAnsi="宋体" w:cs="宋体"/>
                <w:szCs w:val="21"/>
              </w:rPr>
              <w:t>分，最高得</w:t>
            </w:r>
            <w:r>
              <w:rPr>
                <w:rFonts w:ascii="宋体" w:hAnsi="宋体" w:cs="宋体"/>
                <w:szCs w:val="21"/>
              </w:rPr>
              <w:t>15</w:t>
            </w:r>
            <w:r>
              <w:rPr>
                <w:rFonts w:hint="eastAsia" w:ascii="宋体" w:hAnsi="宋体" w:cs="宋体"/>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6</w:t>
            </w:r>
          </w:p>
        </w:tc>
        <w:tc>
          <w:tcPr>
            <w:tcW w:w="87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技术方案</w:t>
            </w:r>
          </w:p>
        </w:tc>
        <w:tc>
          <w:tcPr>
            <w:tcW w:w="5989"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1"/>
              </w:rPr>
            </w:pPr>
            <w:r>
              <w:rPr>
                <w:rFonts w:hint="eastAsia" w:ascii="宋体" w:hAnsi="宋体"/>
                <w:szCs w:val="21"/>
              </w:rPr>
              <w:t>运维方案（</w:t>
            </w:r>
            <w:r>
              <w:rPr>
                <w:rFonts w:ascii="宋体" w:hAnsi="宋体"/>
                <w:szCs w:val="21"/>
              </w:rPr>
              <w:t>18</w:t>
            </w:r>
            <w:r>
              <w:rPr>
                <w:rFonts w:hint="eastAsia" w:ascii="宋体" w:hAnsi="宋体"/>
                <w:szCs w:val="21"/>
              </w:rPr>
              <w:t>）</w:t>
            </w:r>
          </w:p>
          <w:p>
            <w:pPr>
              <w:widowControl/>
              <w:rPr>
                <w:rFonts w:ascii="宋体" w:hAnsi="宋体"/>
                <w:szCs w:val="21"/>
              </w:rPr>
            </w:pPr>
            <w:r>
              <w:rPr>
                <w:rFonts w:hint="eastAsia" w:ascii="宋体" w:hAnsi="宋体"/>
                <w:szCs w:val="21"/>
              </w:rPr>
              <w:t>对本项目的一体化运维服务的组织架构、运维范围、管理流程、工作流程、故障及处理流程、运维管理服务等</w:t>
            </w:r>
            <w:r>
              <w:rPr>
                <w:rFonts w:ascii="宋体" w:hAnsi="宋体"/>
                <w:szCs w:val="21"/>
              </w:rPr>
              <w:t>6</w:t>
            </w:r>
            <w:r>
              <w:rPr>
                <w:rFonts w:hint="eastAsia" w:ascii="宋体" w:hAnsi="宋体"/>
                <w:szCs w:val="21"/>
              </w:rPr>
              <w:t>个关键点进行阐述，</w:t>
            </w:r>
            <w:r>
              <w:rPr>
                <w:rFonts w:hint="eastAsia" w:ascii="宋体" w:hAnsi="宋体"/>
                <w:color w:val="000000"/>
                <w:szCs w:val="21"/>
              </w:rPr>
              <w:t>由评标专家</w:t>
            </w:r>
            <w:r>
              <w:rPr>
                <w:rFonts w:hint="eastAsia" w:ascii="宋体" w:hAnsi="宋体"/>
                <w:szCs w:val="21"/>
              </w:rPr>
              <w:t>对投标人提供方案的完整性和合理性进行评分，每块内容理解明确，阐述完整，较好满足采购需求的，得</w:t>
            </w:r>
            <w:r>
              <w:rPr>
                <w:rFonts w:ascii="宋体" w:hAnsi="宋体"/>
                <w:szCs w:val="21"/>
              </w:rPr>
              <w:t>2</w:t>
            </w:r>
            <w:r>
              <w:rPr>
                <w:rFonts w:hint="eastAsia" w:ascii="宋体" w:hAnsi="宋体"/>
                <w:szCs w:val="21"/>
              </w:rPr>
              <w:t>-</w:t>
            </w:r>
            <w:r>
              <w:rPr>
                <w:rFonts w:ascii="宋体" w:hAnsi="宋体"/>
                <w:szCs w:val="21"/>
              </w:rPr>
              <w:t>3</w:t>
            </w:r>
            <w:r>
              <w:rPr>
                <w:rFonts w:hint="eastAsia" w:ascii="宋体" w:hAnsi="宋体"/>
                <w:szCs w:val="21"/>
              </w:rPr>
              <w:t>分；每块内容需求理解一般，阐述较差，基本满足采购需求的，得0-1分。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7</w:t>
            </w:r>
          </w:p>
        </w:tc>
        <w:tc>
          <w:tcPr>
            <w:tcW w:w="87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监控方案（9）</w:t>
            </w:r>
          </w:p>
          <w:p>
            <w:pPr>
              <w:widowControl/>
            </w:pPr>
            <w:r>
              <w:rPr>
                <w:rFonts w:hint="eastAsia" w:ascii="宋体" w:hAnsi="宋体"/>
                <w:szCs w:val="21"/>
              </w:rPr>
              <w:t>对本项目提供统一的监控服务，从监控软件、监控流程、问题处理等3个方面进行阐述，由评标专家对投标人提供方案的完整性和合理性进行评分，每块内容理解明确，阐述完整，较好满足采购需求的，得</w:t>
            </w:r>
            <w:r>
              <w:rPr>
                <w:rFonts w:ascii="宋体" w:hAnsi="宋体"/>
                <w:szCs w:val="21"/>
              </w:rPr>
              <w:t>2</w:t>
            </w:r>
            <w:r>
              <w:rPr>
                <w:rFonts w:hint="eastAsia" w:ascii="宋体" w:hAnsi="宋体"/>
                <w:szCs w:val="21"/>
              </w:rPr>
              <w:t>-</w:t>
            </w:r>
            <w:r>
              <w:rPr>
                <w:rFonts w:ascii="宋体" w:hAnsi="宋体"/>
                <w:szCs w:val="21"/>
              </w:rPr>
              <w:t>3</w:t>
            </w:r>
            <w:r>
              <w:rPr>
                <w:rFonts w:hint="eastAsia" w:ascii="宋体" w:hAnsi="宋体"/>
                <w:szCs w:val="21"/>
              </w:rPr>
              <w:t>分；每块内容需求理解一般，阐述较差，基本满足采购需求的，得0-1分。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Cs w:val="21"/>
              </w:rPr>
            </w:pPr>
            <w:r>
              <w:rPr>
                <w:rFonts w:hint="eastAsia" w:ascii="宋体" w:hAnsi="宋体"/>
                <w:szCs w:val="21"/>
              </w:rPr>
              <w:t>8</w:t>
            </w:r>
          </w:p>
        </w:tc>
        <w:tc>
          <w:tcPr>
            <w:tcW w:w="87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Cs w:val="21"/>
              </w:rPr>
            </w:pP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 xml:space="preserve">实施方案（6） </w:t>
            </w:r>
          </w:p>
          <w:p>
            <w:pPr>
              <w:widowControl/>
              <w:rPr>
                <w:rFonts w:ascii="宋体" w:hAnsi="宋体"/>
                <w:szCs w:val="21"/>
              </w:rPr>
            </w:pPr>
            <w:r>
              <w:rPr>
                <w:rFonts w:hint="eastAsia" w:ascii="宋体" w:hAnsi="宋体"/>
                <w:szCs w:val="21"/>
              </w:rPr>
              <w:t>投标人提供完善的实施方案（可包含但不限于通道方案、对接方案、管理流程、项目实施计划等），对实施方案内容的科学性、合理性、全面性进行综合比较评分。</w:t>
            </w:r>
            <w:r>
              <w:rPr>
                <w:rFonts w:hint="eastAsia" w:ascii="宋体" w:hAnsi="宋体"/>
                <w:color w:val="000000"/>
                <w:szCs w:val="21"/>
              </w:rPr>
              <w:t>由评标专家</w:t>
            </w:r>
            <w:r>
              <w:rPr>
                <w:rFonts w:hint="eastAsia" w:ascii="宋体" w:hAnsi="宋体"/>
                <w:szCs w:val="21"/>
              </w:rPr>
              <w:t>对投标人提供方案的完整性和合理性进行评分，</w:t>
            </w:r>
            <w:r>
              <w:rPr>
                <w:rFonts w:hint="eastAsia" w:ascii="宋体" w:hAnsi="宋体" w:cs="宋体"/>
                <w:szCs w:val="21"/>
              </w:rPr>
              <w:t>实施方案详尽、科学合理全面，得</w:t>
            </w:r>
            <w:r>
              <w:rPr>
                <w:rFonts w:ascii="宋体" w:hAnsi="宋体" w:cs="宋体"/>
                <w:szCs w:val="21"/>
              </w:rPr>
              <w:t>5</w:t>
            </w:r>
            <w:r>
              <w:rPr>
                <w:rFonts w:hint="eastAsia" w:ascii="宋体" w:hAnsi="宋体" w:cs="宋体"/>
                <w:szCs w:val="21"/>
              </w:rPr>
              <w:t>-</w:t>
            </w:r>
            <w:r>
              <w:rPr>
                <w:rFonts w:ascii="宋体" w:hAnsi="宋体" w:cs="宋体"/>
                <w:szCs w:val="21"/>
              </w:rPr>
              <w:t>6</w:t>
            </w:r>
            <w:r>
              <w:rPr>
                <w:rFonts w:hint="eastAsia" w:ascii="宋体" w:hAnsi="宋体" w:cs="宋体"/>
                <w:szCs w:val="21"/>
              </w:rPr>
              <w:t>分；实施服务方案完整、较为科学合理全面的，基本符合招标文件要求得</w:t>
            </w:r>
            <w:r>
              <w:rPr>
                <w:rFonts w:ascii="宋体" w:hAnsi="宋体" w:cs="宋体"/>
                <w:szCs w:val="21"/>
              </w:rPr>
              <w:t>3</w:t>
            </w:r>
            <w:r>
              <w:rPr>
                <w:rFonts w:hint="eastAsia" w:ascii="宋体" w:hAnsi="宋体" w:cs="宋体"/>
                <w:szCs w:val="21"/>
              </w:rPr>
              <w:t>-</w:t>
            </w:r>
            <w:r>
              <w:rPr>
                <w:rFonts w:ascii="宋体" w:hAnsi="宋体" w:cs="宋体"/>
                <w:szCs w:val="21"/>
              </w:rPr>
              <w:t>4</w:t>
            </w:r>
            <w:r>
              <w:rPr>
                <w:rFonts w:hint="eastAsia" w:ascii="宋体" w:hAnsi="宋体" w:cs="宋体"/>
                <w:szCs w:val="21"/>
              </w:rPr>
              <w:t>分；有实施方案，方案基本合理，得1-</w:t>
            </w:r>
            <w:r>
              <w:rPr>
                <w:rFonts w:ascii="宋体" w:hAnsi="宋体" w:cs="宋体"/>
                <w:szCs w:val="21"/>
              </w:rPr>
              <w:t>2</w:t>
            </w:r>
            <w:r>
              <w:rPr>
                <w:rFonts w:hint="eastAsia" w:ascii="宋体" w:hAnsi="宋体" w:cs="宋体"/>
                <w:szCs w:val="21"/>
              </w:rPr>
              <w:t>分；不提供不得分。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9</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szCs w:val="21"/>
              </w:rPr>
              <w:t>团队能力</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本服务实施制定一名项目经理，具有信息系统项目管理师证书得</w:t>
            </w:r>
            <w:r>
              <w:rPr>
                <w:rFonts w:ascii="宋体" w:hAnsi="宋体"/>
                <w:szCs w:val="21"/>
              </w:rPr>
              <w:t>3</w:t>
            </w:r>
            <w:r>
              <w:rPr>
                <w:rFonts w:hint="eastAsia" w:ascii="宋体" w:hAnsi="宋体"/>
                <w:szCs w:val="21"/>
              </w:rPr>
              <w:t>分。</w:t>
            </w:r>
          </w:p>
          <w:p>
            <w:pPr>
              <w:widowControl/>
              <w:rPr>
                <w:rFonts w:ascii="宋体" w:hAnsi="宋体"/>
                <w:szCs w:val="21"/>
              </w:rPr>
            </w:pPr>
            <w:r>
              <w:rPr>
                <w:rFonts w:hint="eastAsia" w:ascii="宋体" w:hAnsi="宋体"/>
                <w:szCs w:val="21"/>
              </w:rPr>
              <w:t>除项目经理外，提供一名团队成员，团队成员具有网络工程师证书得</w:t>
            </w:r>
            <w:r>
              <w:rPr>
                <w:rFonts w:ascii="宋体" w:hAnsi="宋体"/>
                <w:szCs w:val="21"/>
              </w:rPr>
              <w:t>3</w:t>
            </w:r>
            <w:r>
              <w:rPr>
                <w:rFonts w:hint="eastAsia" w:ascii="宋体" w:hAnsi="宋体"/>
                <w:szCs w:val="21"/>
              </w:rPr>
              <w:t>分</w:t>
            </w:r>
          </w:p>
          <w:p>
            <w:pPr>
              <w:widowControl/>
              <w:rPr>
                <w:rFonts w:ascii="宋体" w:hAnsi="宋体"/>
                <w:szCs w:val="21"/>
              </w:rPr>
            </w:pPr>
            <w:r>
              <w:rPr>
                <w:rFonts w:hint="eastAsia" w:ascii="宋体" w:hAnsi="宋体"/>
                <w:szCs w:val="21"/>
              </w:rPr>
              <w:t>（评审依据：须提供相关证书复印件以及投标单位为相关人员缴纳的最近一期社保证明，未提供不得分）</w:t>
            </w:r>
          </w:p>
          <w:p>
            <w:pPr>
              <w:rPr>
                <w:rFonts w:ascii="宋体" w:hAnsi="宋体"/>
                <w:szCs w:val="21"/>
              </w:rPr>
            </w:pP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Cs w:val="21"/>
              </w:rPr>
            </w:pPr>
            <w:r>
              <w:rPr>
                <w:rFonts w:hint="eastAsia" w:ascii="宋体" w:hAnsi="宋体"/>
                <w:color w:val="000000"/>
                <w:szCs w:val="21"/>
              </w:rPr>
              <w:t>1</w:t>
            </w:r>
            <w:r>
              <w:rPr>
                <w:rFonts w:ascii="宋体" w:hAnsi="宋体"/>
                <w:color w:val="000000"/>
                <w:szCs w:val="21"/>
              </w:rPr>
              <w:t>0</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szCs w:val="21"/>
              </w:rPr>
              <w:t>培训服务</w:t>
            </w:r>
          </w:p>
        </w:tc>
        <w:tc>
          <w:tcPr>
            <w:tcW w:w="5989" w:type="dxa"/>
            <w:tcBorders>
              <w:top w:val="single" w:color="auto" w:sz="4" w:space="0"/>
              <w:left w:val="single" w:color="auto" w:sz="4" w:space="0"/>
              <w:bottom w:val="single" w:color="auto" w:sz="4" w:space="0"/>
              <w:right w:val="single" w:color="auto" w:sz="4" w:space="0"/>
            </w:tcBorders>
          </w:tcPr>
          <w:p>
            <w:pPr>
              <w:rPr>
                <w:rFonts w:ascii="宋体" w:hAnsi="宋体"/>
                <w:szCs w:val="21"/>
              </w:rPr>
            </w:pPr>
            <w:r>
              <w:rPr>
                <w:rFonts w:hint="eastAsia"/>
                <w:szCs w:val="21"/>
              </w:rPr>
              <w:t>具有详细的培训方案，培训内容、目标人员等科学合理，方案清晰的得</w:t>
            </w:r>
            <w:r>
              <w:rPr>
                <w:szCs w:val="21"/>
              </w:rPr>
              <w:t>3-4</w:t>
            </w:r>
            <w:r>
              <w:rPr>
                <w:rFonts w:hint="eastAsia"/>
                <w:szCs w:val="21"/>
              </w:rPr>
              <w:t>分；方案简单且可操作性差得0</w:t>
            </w:r>
            <w:r>
              <w:rPr>
                <w:szCs w:val="21"/>
              </w:rPr>
              <w:t>-2</w:t>
            </w:r>
            <w:r>
              <w:rPr>
                <w:rFonts w:hint="eastAsia"/>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Cs w:val="21"/>
              </w:rPr>
            </w:pPr>
            <w:r>
              <w:rPr>
                <w:rFonts w:hint="eastAsia" w:ascii="宋体" w:hAnsi="宋体"/>
                <w:color w:val="000000"/>
                <w:szCs w:val="21"/>
              </w:rPr>
              <w:t>1</w:t>
            </w:r>
            <w:r>
              <w:rPr>
                <w:rFonts w:ascii="宋体" w:hAnsi="宋体"/>
                <w:color w:val="000000"/>
                <w:szCs w:val="21"/>
              </w:rPr>
              <w:t>1</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szCs w:val="21"/>
              </w:rPr>
              <w:t>售后服务能力</w:t>
            </w:r>
          </w:p>
        </w:tc>
        <w:tc>
          <w:tcPr>
            <w:tcW w:w="5989" w:type="dxa"/>
            <w:tcBorders>
              <w:top w:val="single" w:color="auto" w:sz="4" w:space="0"/>
              <w:left w:val="single" w:color="auto" w:sz="4" w:space="0"/>
              <w:bottom w:val="single" w:color="auto" w:sz="4" w:space="0"/>
              <w:right w:val="single" w:color="auto" w:sz="4" w:space="0"/>
            </w:tcBorders>
          </w:tcPr>
          <w:p>
            <w:pPr>
              <w:rPr>
                <w:rFonts w:ascii="宋体" w:hAnsi="宋体"/>
                <w:szCs w:val="21"/>
              </w:rPr>
            </w:pPr>
            <w:r>
              <w:rPr>
                <w:rFonts w:hint="eastAsia"/>
                <w:szCs w:val="21"/>
              </w:rPr>
              <w:t>具有明确的售后服务方案，服务要求、服务体系、服务方式等清晰合理，能明确具体的服务响应时间的得</w:t>
            </w:r>
            <w:r>
              <w:rPr>
                <w:szCs w:val="21"/>
              </w:rPr>
              <w:t>3-4</w:t>
            </w:r>
            <w:r>
              <w:rPr>
                <w:rFonts w:hint="eastAsia"/>
                <w:szCs w:val="21"/>
              </w:rPr>
              <w:t>分，售后服务方案一般的得0</w:t>
            </w:r>
            <w:r>
              <w:rPr>
                <w:szCs w:val="21"/>
              </w:rPr>
              <w:t>-2</w:t>
            </w:r>
            <w:r>
              <w:rPr>
                <w:rFonts w:hint="eastAsia"/>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4</w:t>
            </w:r>
          </w:p>
        </w:tc>
      </w:tr>
    </w:tbl>
    <w:p>
      <w:pPr>
        <w:snapToGrid w:val="0"/>
        <w:spacing w:line="320" w:lineRule="exact"/>
        <w:jc w:val="left"/>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Cs/>
          <w:color w:val="000000" w:themeColor="text1"/>
          <w14:textFill>
            <w14:solidFill>
              <w14:schemeClr w14:val="tx1"/>
            </w14:solidFill>
          </w14:textFill>
        </w:rPr>
        <w:t>注：为便于评分，请投标人按评分表样式，逐条列出证明材料所在页码，格式自定。</w:t>
      </w:r>
    </w:p>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napToGrid w:val="0"/>
        <w:spacing w:line="320" w:lineRule="exact"/>
        <w:jc w:val="lef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w:t>
      </w:r>
      <w:r>
        <w:rPr>
          <w:rFonts w:hint="eastAsia" w:ascii="黑体" w:hAnsi="黑体" w:eastAsia="黑体" w:cs="黑体"/>
          <w:bCs/>
          <w:color w:val="000000" w:themeColor="text1"/>
          <w:lang w:val="en-US" w:eastAsia="zh-CN"/>
          <w14:textFill>
            <w14:solidFill>
              <w14:schemeClr w14:val="tx1"/>
            </w14:solidFill>
          </w14:textFill>
        </w:rPr>
        <w:t>2</w:t>
      </w:r>
      <w:r>
        <w:rPr>
          <w:rFonts w:hint="eastAsia" w:ascii="黑体" w:hAnsi="黑体" w:eastAsia="黑体" w:cs="黑体"/>
          <w:bCs/>
          <w:color w:val="000000" w:themeColor="text1"/>
          <w14:textFill>
            <w14:solidFill>
              <w14:schemeClr w14:val="tx1"/>
            </w14:solidFill>
          </w14:textFill>
        </w:rPr>
        <w:t>0%的扣除。参加报价的中小企业，应当按照《政府采购促进中小企业发展暂行办法》（财库〔2011〕181号）的规定提供《中小企业声明函》（中小企业划型标准详见《关于印发中小企业划型标准规定的通知》工信部联企业〔2011〕300号）。</w:t>
      </w:r>
    </w:p>
    <w:p>
      <w:pPr>
        <w:spacing w:line="320" w:lineRule="exac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pStyle w:val="2"/>
        <w:rPr>
          <w:color w:val="000000" w:themeColor="text1"/>
          <w:lang w:val="en-US"/>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rPr>
      </w:pPr>
    </w:p>
    <w:p>
      <w:pPr>
        <w:outlineLvl w:val="1"/>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采购项目名称：泰州市级短信平台服务</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w:t>
      </w:r>
      <w:r>
        <w:rPr>
          <w:rFonts w:ascii="Times New Roman" w:hAnsi="Times New Roman" w:eastAsia="黑体"/>
          <w:bCs/>
          <w:color w:val="000000" w:themeColor="text1"/>
          <w:sz w:val="36"/>
          <w:szCs w:val="36"/>
          <w14:textFill>
            <w14:solidFill>
              <w14:schemeClr w14:val="tx1"/>
            </w14:solidFill>
          </w14:textFill>
        </w:rPr>
        <w:t>2</w:t>
      </w:r>
      <w:r>
        <w:rPr>
          <w:rFonts w:hint="eastAsia" w:ascii="Times New Roman" w:hAnsi="Times New Roman" w:eastAsia="黑体"/>
          <w:bCs/>
          <w:color w:val="000000" w:themeColor="text1"/>
          <w:sz w:val="36"/>
          <w:szCs w:val="36"/>
          <w:lang w:val="en-US" w:eastAsia="zh-CN"/>
          <w14:textFill>
            <w14:solidFill>
              <w14:schemeClr w14:val="tx1"/>
            </w14:solidFill>
          </w14:textFill>
        </w:rPr>
        <w:t>3</w:t>
      </w:r>
      <w:r>
        <w:rPr>
          <w:rFonts w:hint="eastAsia" w:ascii="Times New Roman" w:hAnsi="Times New Roman" w:eastAsia="黑体"/>
          <w:bCs/>
          <w:color w:val="000000" w:themeColor="text1"/>
          <w:sz w:val="36"/>
          <w:szCs w:val="36"/>
          <w14:textFill>
            <w14:solidFill>
              <w14:schemeClr w14:val="tx1"/>
            </w14:solidFill>
          </w14:textFill>
        </w:rPr>
        <w:t>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24"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24"/>
    </w:p>
    <w:p>
      <w:pPr>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6"/>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6"/>
        </w:numPr>
        <w:tabs>
          <w:tab w:val="left" w:pos="0"/>
          <w:tab w:val="left" w:pos="315"/>
          <w:tab w:val="left" w:pos="525"/>
          <w:tab w:val="left" w:pos="840"/>
          <w:tab w:val="left" w:pos="945"/>
          <w:tab w:val="left" w:pos="1050"/>
        </w:tabs>
        <w:spacing w:line="360" w:lineRule="auto"/>
        <w:ind w:left="0" w:firstLine="523" w:firstLineChars="218"/>
        <w:rPr>
          <w:rStyle w:val="12"/>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6"/>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1"/>
        <w:rPr>
          <w:rFonts w:ascii="黑体" w:hAnsi="黑体" w:eastAsia="黑体" w:cs="黑体"/>
          <w:bCs/>
          <w:color w:val="000000" w:themeColor="text1"/>
          <w:sz w:val="28"/>
          <w:szCs w:val="28"/>
          <w14:textFill>
            <w14:solidFill>
              <w14:schemeClr w14:val="tx1"/>
            </w14:solidFill>
          </w14:textFill>
        </w:rPr>
      </w:pPr>
      <w:bookmarkStart w:id="25"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25"/>
    </w:p>
    <w:p>
      <w:pPr>
        <w:spacing w:line="360" w:lineRule="auto"/>
        <w:rPr>
          <w:rFonts w:ascii="黑体" w:hAnsi="黑体" w:eastAsia="黑体" w:cs="黑体"/>
          <w:bCs/>
          <w:color w:val="000000" w:themeColor="text1"/>
          <w:sz w:val="36"/>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26"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26"/>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27"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27"/>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28"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28"/>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r>
        <w:rPr>
          <w:rFonts w:ascii="黑体" w:hAnsi="黑体" w:eastAsia="黑体" w:cs="黑体"/>
          <w:bCs/>
          <w:color w:val="000000" w:themeColor="text1"/>
          <w:sz w:val="24"/>
          <w:szCs w:val="24"/>
          <w14:textFill>
            <w14:solidFill>
              <w14:schemeClr w14:val="tx1"/>
            </w14:solidFill>
          </w14:textFill>
        </w:rPr>
        <w:t>XXX</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29"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29"/>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30" w:name="_Toc534555668"/>
    </w:p>
    <w:p>
      <w:pPr>
        <w:ind w:firstLine="420" w:firstLineChars="175"/>
        <w:outlineLvl w:val="1"/>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30"/>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对本项目（XXX）所提供的货物均为原厂全新合格品；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Style w:val="13"/>
          <w:rFonts w:hint="eastAsia" w:ascii="黑体" w:hAnsi="黑体" w:eastAsia="黑体" w:cs="黑体"/>
          <w:bCs/>
          <w:color w:val="000000" w:themeColor="text1"/>
          <w:sz w:val="24"/>
          <w:szCs w:val="24"/>
          <w14:textFill>
            <w14:solidFill>
              <w14:schemeClr w14:val="tx1"/>
            </w14:solidFill>
          </w14:textFill>
        </w:rPr>
        <w:t>www.creditchina.gov.cn</w:t>
      </w:r>
      <w:r>
        <w:rPr>
          <w:rStyle w:val="13"/>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bookmarkStart w:id="31"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31"/>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32"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32"/>
      <w:r>
        <w:rPr>
          <w:rFonts w:hint="eastAsia" w:ascii="黑体" w:hAnsi="黑体" w:eastAsia="黑体" w:cs="黑体"/>
          <w:bCs/>
          <w:color w:val="000000" w:themeColor="text1"/>
          <w:sz w:val="28"/>
          <w:szCs w:val="28"/>
          <w14:textFill>
            <w14:solidFill>
              <w14:schemeClr w14:val="tx1"/>
            </w14:solidFill>
          </w14:textFill>
        </w:rPr>
        <w:t xml:space="preserve"> </w:t>
      </w:r>
    </w:p>
    <w:p>
      <w:pPr>
        <w:jc w:val="center"/>
        <w:rPr>
          <w:rFonts w:ascii="黑体" w:hAnsi="黑体" w:eastAsia="黑体" w:cs="黑体"/>
          <w:bCs/>
          <w:color w:val="000000" w:themeColor="text1"/>
          <w:sz w:val="28"/>
          <w:szCs w:val="28"/>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w:t>
            </w:r>
            <w:r>
              <w:rPr>
                <w:rFonts w:hint="eastAsia" w:ascii="黑体" w:hAnsi="黑体" w:eastAsia="黑体" w:cs="黑体"/>
                <w:b/>
                <w:bCs/>
                <w:color w:val="000000" w:themeColor="text1"/>
                <w:sz w:val="24"/>
                <w:szCs w:val="24"/>
                <w:lang w:eastAsia="zh-CN"/>
                <w14:textFill>
                  <w14:solidFill>
                    <w14:schemeClr w14:val="tx1"/>
                  </w14:solidFill>
                </w14:textFill>
              </w:rPr>
              <w:t>（</w:t>
            </w:r>
            <w:r>
              <w:rPr>
                <w:rFonts w:hint="eastAsia" w:ascii="黑体" w:hAnsi="黑体" w:eastAsia="黑体" w:cs="黑体"/>
                <w:b/>
                <w:bCs/>
                <w:color w:val="000000" w:themeColor="text1"/>
                <w:sz w:val="24"/>
                <w:szCs w:val="24"/>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4"/>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泰州市级短信平台服务</w:t>
            </w:r>
          </w:p>
        </w:tc>
        <w:tc>
          <w:tcPr>
            <w:tcW w:w="4515" w:type="dxa"/>
            <w:tcBorders>
              <w:top w:val="single" w:color="auto" w:sz="4" w:space="0"/>
              <w:left w:val="single" w:color="auto" w:sz="4" w:space="0"/>
              <w:bottom w:val="single" w:color="auto" w:sz="4" w:space="0"/>
              <w:right w:val="single" w:color="auto" w:sz="4" w:space="0"/>
            </w:tcBorders>
            <w:vAlign w:val="center"/>
          </w:tcPr>
          <w:p>
            <w:pPr>
              <w:pStyle w:val="14"/>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33"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33"/>
    </w:p>
    <w:p>
      <w:pPr>
        <w:spacing w:line="400" w:lineRule="exact"/>
        <w:jc w:val="center"/>
        <w:rPr>
          <w:rFonts w:ascii="黑体" w:hAnsi="黑体" w:eastAsia="黑体" w:cs="黑体"/>
          <w:bCs/>
          <w:color w:val="000000" w:themeColor="text1"/>
          <w:sz w:val="28"/>
          <w:szCs w:val="28"/>
          <w14:textFill>
            <w14:solidFill>
              <w14:schemeClr w14:val="tx1"/>
            </w14:solidFill>
          </w14:textFill>
        </w:rPr>
      </w:pPr>
      <w:bookmarkStart w:id="34" w:name="_Toc534555672"/>
    </w:p>
    <w:p>
      <w:pPr>
        <w:spacing w:line="400" w:lineRule="exact"/>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明细报价表</w:t>
      </w:r>
      <w:bookmarkEnd w:id="34"/>
    </w:p>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846"/>
        <w:gridCol w:w="146"/>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5240"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4540"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rPr>
          <w:rFonts w:ascii="黑体" w:hAnsi="黑体" w:eastAsia="黑体" w:cs="黑体"/>
          <w:bCs/>
          <w:color w:val="000000" w:themeColor="text1"/>
          <w:sz w:val="28"/>
          <w:szCs w:val="28"/>
          <w14:textFill>
            <w14:solidFill>
              <w14:schemeClr w14:val="tx1"/>
            </w14:solidFill>
          </w14:textFill>
        </w:rPr>
      </w:pPr>
      <w:bookmarkStart w:id="35" w:name="_Toc534555673"/>
    </w:p>
    <w:p>
      <w:pPr>
        <w:spacing w:line="400" w:lineRule="exact"/>
        <w:jc w:val="center"/>
        <w:outlineLvl w:val="1"/>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（八）采购需求响应表</w:t>
      </w:r>
      <w:bookmarkEnd w:id="35"/>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9"/>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rPr>
          <w:rFonts w:ascii="黑体" w:hAnsi="黑体" w:eastAsia="黑体" w:cs="黑体"/>
          <w:bCs/>
          <w:color w:val="000000" w:themeColor="text1"/>
          <w:szCs w:val="21"/>
          <w14:textFill>
            <w14:solidFill>
              <w14:schemeClr w14:val="tx1"/>
            </w14:solidFill>
          </w14:textFill>
        </w:rPr>
      </w:pPr>
      <w:bookmarkStart w:id="36"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36"/>
    </w:p>
    <w:p>
      <w:pPr>
        <w:spacing w:line="400" w:lineRule="exact"/>
        <w:rPr>
          <w:rFonts w:ascii="黑体" w:hAnsi="黑体" w:eastAsia="黑体" w:cs="黑体"/>
          <w:bCs/>
          <w:color w:val="000000" w:themeColor="text1"/>
          <w:szCs w:val="21"/>
          <w14:textFill>
            <w14:solidFill>
              <w14:schemeClr w14:val="tx1"/>
            </w14:solidFill>
          </w14:textFill>
        </w:rPr>
      </w:pPr>
      <w:bookmarkStart w:id="37"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37"/>
    </w:p>
    <w:p>
      <w:pPr>
        <w:spacing w:line="400" w:lineRule="exact"/>
        <w:rPr>
          <w:rFonts w:ascii="黑体" w:hAnsi="黑体" w:eastAsia="黑体" w:cs="黑体"/>
          <w:color w:val="000000" w:themeColor="text1"/>
          <w14:textFill>
            <w14:solidFill>
              <w14:schemeClr w14:val="tx1"/>
            </w14:solidFill>
          </w14:textFill>
        </w:rPr>
      </w:pPr>
      <w:bookmarkStart w:id="38"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38"/>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swiss"/>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4AAAE"/>
    <w:multiLevelType w:val="multilevel"/>
    <w:tmpl w:val="E074AAA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56711CB"/>
    <w:multiLevelType w:val="singleLevel"/>
    <w:tmpl w:val="256711CB"/>
    <w:lvl w:ilvl="0" w:tentative="0">
      <w:start w:val="3"/>
      <w:numFmt w:val="chineseCounting"/>
      <w:suff w:val="nothing"/>
      <w:lvlText w:val="%1、"/>
      <w:lvlJc w:val="left"/>
      <w:rPr>
        <w:rFonts w:hint="eastAsia"/>
      </w:rPr>
    </w:lvl>
  </w:abstractNum>
  <w:abstractNum w:abstractNumId="3">
    <w:nsid w:val="61A94FA1"/>
    <w:multiLevelType w:val="multilevel"/>
    <w:tmpl w:val="61A94FA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67E4FBD"/>
    <w:multiLevelType w:val="multilevel"/>
    <w:tmpl w:val="667E4FBD"/>
    <w:lvl w:ilvl="0" w:tentative="0">
      <w:start w:val="1"/>
      <w:numFmt w:val="chineseCountingThousand"/>
      <w:suff w:val="space"/>
      <w:lvlText w:val="第%1章"/>
      <w:lvlJc w:val="left"/>
      <w:pPr>
        <w:ind w:left="0" w:firstLine="0"/>
      </w:pPr>
      <w:rPr>
        <w:rFonts w:hint="eastAsia"/>
        <w:sz w:val="44"/>
        <w:lang w:val="en-US"/>
      </w:rPr>
    </w:lvl>
    <w:lvl w:ilvl="1" w:tentative="0">
      <w:start w:val="1"/>
      <w:numFmt w:val="decimal"/>
      <w:pStyle w:val="4"/>
      <w:isLgl/>
      <w:suff w:val="space"/>
      <w:lvlText w:val="%1.%2"/>
      <w:lvlJc w:val="left"/>
      <w:pPr>
        <w:ind w:left="0" w:firstLine="0"/>
      </w:pPr>
      <w:rPr>
        <w:rFonts w:hint="eastAsia"/>
        <w:b/>
      </w:rPr>
    </w:lvl>
    <w:lvl w:ilvl="2" w:tentative="0">
      <w:start w:val="1"/>
      <w:numFmt w:val="decimal"/>
      <w:pStyle w:val="5"/>
      <w:isLgl/>
      <w:suff w:val="space"/>
      <w:lvlText w:val="%1.%2.%3"/>
      <w:lvlJc w:val="left"/>
      <w:pPr>
        <w:ind w:left="1984" w:firstLine="0"/>
      </w:pPr>
      <w:rPr>
        <w:rFonts w:hint="eastAsia"/>
        <w:b/>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isLgl/>
      <w:suff w:val="nothing"/>
      <w:lvlText w:val="%1.%2.%3.%4.%5.%6.%7"/>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5"/>
  </w:num>
  <w:num w:numId="2">
    <w:abstractNumId w:val="1"/>
  </w:num>
  <w:num w:numId="3">
    <w:abstractNumId w:val="2"/>
  </w:num>
  <w:num w:numId="4">
    <w:abstractNumId w:val="0"/>
  </w:num>
  <w:num w:numId="5">
    <w:abstractNumId w:val="3"/>
  </w:num>
  <w:num w:numId="6">
    <w:abstractNumId w:val="4"/>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xNmRhODIyNjBmOTI2ODNhOGY4ZjFlYzkxMTk2ODcifQ=="/>
  </w:docVars>
  <w:rsids>
    <w:rsidRoot w:val="2BAE7DC9"/>
    <w:rsid w:val="00044E47"/>
    <w:rsid w:val="000650FB"/>
    <w:rsid w:val="0011252B"/>
    <w:rsid w:val="00133387"/>
    <w:rsid w:val="00141EA5"/>
    <w:rsid w:val="00172BED"/>
    <w:rsid w:val="00204EB0"/>
    <w:rsid w:val="00232617"/>
    <w:rsid w:val="00292B47"/>
    <w:rsid w:val="002E14C6"/>
    <w:rsid w:val="00330DF8"/>
    <w:rsid w:val="003D138F"/>
    <w:rsid w:val="00475F91"/>
    <w:rsid w:val="004F5124"/>
    <w:rsid w:val="007A778C"/>
    <w:rsid w:val="007E2EF7"/>
    <w:rsid w:val="00832B93"/>
    <w:rsid w:val="008A483A"/>
    <w:rsid w:val="008B3073"/>
    <w:rsid w:val="00972EE5"/>
    <w:rsid w:val="00A861BE"/>
    <w:rsid w:val="00B44849"/>
    <w:rsid w:val="00BB4BAD"/>
    <w:rsid w:val="00C42075"/>
    <w:rsid w:val="00D41ABF"/>
    <w:rsid w:val="010603B8"/>
    <w:rsid w:val="012375FA"/>
    <w:rsid w:val="01A47274"/>
    <w:rsid w:val="01B43460"/>
    <w:rsid w:val="01FF774D"/>
    <w:rsid w:val="021C0046"/>
    <w:rsid w:val="02600065"/>
    <w:rsid w:val="02916808"/>
    <w:rsid w:val="02933CF1"/>
    <w:rsid w:val="029F7154"/>
    <w:rsid w:val="02AA088B"/>
    <w:rsid w:val="02D74B40"/>
    <w:rsid w:val="03532830"/>
    <w:rsid w:val="03741E07"/>
    <w:rsid w:val="038B57F0"/>
    <w:rsid w:val="038C6E0E"/>
    <w:rsid w:val="039128E3"/>
    <w:rsid w:val="03913842"/>
    <w:rsid w:val="04610B65"/>
    <w:rsid w:val="04A24874"/>
    <w:rsid w:val="04E549D9"/>
    <w:rsid w:val="04F00CE2"/>
    <w:rsid w:val="05180BF9"/>
    <w:rsid w:val="05423654"/>
    <w:rsid w:val="055F2BCB"/>
    <w:rsid w:val="05BE41B0"/>
    <w:rsid w:val="0653437F"/>
    <w:rsid w:val="06F60EEA"/>
    <w:rsid w:val="06FE3AD0"/>
    <w:rsid w:val="0717563C"/>
    <w:rsid w:val="07305D00"/>
    <w:rsid w:val="077B7867"/>
    <w:rsid w:val="08176F8E"/>
    <w:rsid w:val="08547E6E"/>
    <w:rsid w:val="08806BF3"/>
    <w:rsid w:val="088A442E"/>
    <w:rsid w:val="08BC37E6"/>
    <w:rsid w:val="08F9299B"/>
    <w:rsid w:val="09257BCC"/>
    <w:rsid w:val="098C6266"/>
    <w:rsid w:val="09EB2527"/>
    <w:rsid w:val="09F3749B"/>
    <w:rsid w:val="0A6B1393"/>
    <w:rsid w:val="0A99092D"/>
    <w:rsid w:val="0ACC61C5"/>
    <w:rsid w:val="0B07436C"/>
    <w:rsid w:val="0B136931"/>
    <w:rsid w:val="0B30303F"/>
    <w:rsid w:val="0B317C40"/>
    <w:rsid w:val="0B6F669C"/>
    <w:rsid w:val="0BED6D00"/>
    <w:rsid w:val="0C0F52A2"/>
    <w:rsid w:val="0C1D2948"/>
    <w:rsid w:val="0CFF0F1B"/>
    <w:rsid w:val="0DC669D4"/>
    <w:rsid w:val="0DCA452C"/>
    <w:rsid w:val="0E09687B"/>
    <w:rsid w:val="0E53141C"/>
    <w:rsid w:val="0EA978B3"/>
    <w:rsid w:val="0EAB3E35"/>
    <w:rsid w:val="0EDF3D95"/>
    <w:rsid w:val="0F2774C7"/>
    <w:rsid w:val="0F3A4205"/>
    <w:rsid w:val="0F5336EF"/>
    <w:rsid w:val="0FD77F2D"/>
    <w:rsid w:val="0FE54F1B"/>
    <w:rsid w:val="0FF4037D"/>
    <w:rsid w:val="0FFF39C6"/>
    <w:rsid w:val="10035C53"/>
    <w:rsid w:val="10455129"/>
    <w:rsid w:val="10802373"/>
    <w:rsid w:val="10DD30C0"/>
    <w:rsid w:val="11321CCC"/>
    <w:rsid w:val="11496C09"/>
    <w:rsid w:val="1202426A"/>
    <w:rsid w:val="12352A26"/>
    <w:rsid w:val="1285104A"/>
    <w:rsid w:val="12961C7E"/>
    <w:rsid w:val="12D7480E"/>
    <w:rsid w:val="13702B73"/>
    <w:rsid w:val="13A03FDE"/>
    <w:rsid w:val="13B16579"/>
    <w:rsid w:val="13D12903"/>
    <w:rsid w:val="13EE0BF5"/>
    <w:rsid w:val="13F76773"/>
    <w:rsid w:val="141D25CF"/>
    <w:rsid w:val="143407DB"/>
    <w:rsid w:val="1514752E"/>
    <w:rsid w:val="152E1DCE"/>
    <w:rsid w:val="164646ED"/>
    <w:rsid w:val="1653052A"/>
    <w:rsid w:val="16973B64"/>
    <w:rsid w:val="177607DB"/>
    <w:rsid w:val="17DF4208"/>
    <w:rsid w:val="182C1AE5"/>
    <w:rsid w:val="18381785"/>
    <w:rsid w:val="184A3F75"/>
    <w:rsid w:val="185145F5"/>
    <w:rsid w:val="187A755D"/>
    <w:rsid w:val="18831D69"/>
    <w:rsid w:val="188B1D38"/>
    <w:rsid w:val="18BC4164"/>
    <w:rsid w:val="18CD6858"/>
    <w:rsid w:val="18DB4B3E"/>
    <w:rsid w:val="194902DE"/>
    <w:rsid w:val="196E143D"/>
    <w:rsid w:val="196E54EF"/>
    <w:rsid w:val="199A1428"/>
    <w:rsid w:val="19AC70AA"/>
    <w:rsid w:val="19BA1A34"/>
    <w:rsid w:val="19D1529B"/>
    <w:rsid w:val="1A4033B9"/>
    <w:rsid w:val="1A5C0D03"/>
    <w:rsid w:val="1A727520"/>
    <w:rsid w:val="1B0F559D"/>
    <w:rsid w:val="1BC44B51"/>
    <w:rsid w:val="1BC473FC"/>
    <w:rsid w:val="1BCC313F"/>
    <w:rsid w:val="1C2063A2"/>
    <w:rsid w:val="1C8E6AFB"/>
    <w:rsid w:val="1D122806"/>
    <w:rsid w:val="1D347041"/>
    <w:rsid w:val="1D3F17D1"/>
    <w:rsid w:val="1D970B80"/>
    <w:rsid w:val="1D9F21EE"/>
    <w:rsid w:val="1DAD449C"/>
    <w:rsid w:val="1DD27F86"/>
    <w:rsid w:val="1DEC54EC"/>
    <w:rsid w:val="1E4A3FC0"/>
    <w:rsid w:val="1E4B28AE"/>
    <w:rsid w:val="1E4F3472"/>
    <w:rsid w:val="1EB7078B"/>
    <w:rsid w:val="1F001448"/>
    <w:rsid w:val="1F09438B"/>
    <w:rsid w:val="20355085"/>
    <w:rsid w:val="20901FD7"/>
    <w:rsid w:val="20A27562"/>
    <w:rsid w:val="20AC7BD8"/>
    <w:rsid w:val="20BC230A"/>
    <w:rsid w:val="218D705C"/>
    <w:rsid w:val="21CC1459"/>
    <w:rsid w:val="21D8575E"/>
    <w:rsid w:val="2207096E"/>
    <w:rsid w:val="22486A69"/>
    <w:rsid w:val="2299783B"/>
    <w:rsid w:val="22BA120B"/>
    <w:rsid w:val="233A2407"/>
    <w:rsid w:val="2383154E"/>
    <w:rsid w:val="23860C42"/>
    <w:rsid w:val="239E5047"/>
    <w:rsid w:val="23BC3C16"/>
    <w:rsid w:val="23D94EDC"/>
    <w:rsid w:val="24845DF0"/>
    <w:rsid w:val="256A49D2"/>
    <w:rsid w:val="261C4494"/>
    <w:rsid w:val="26293F40"/>
    <w:rsid w:val="266A01AB"/>
    <w:rsid w:val="26901106"/>
    <w:rsid w:val="26DF400F"/>
    <w:rsid w:val="274574A6"/>
    <w:rsid w:val="274640EA"/>
    <w:rsid w:val="27B84691"/>
    <w:rsid w:val="27C60B5C"/>
    <w:rsid w:val="27F85949"/>
    <w:rsid w:val="28136AB9"/>
    <w:rsid w:val="283E401C"/>
    <w:rsid w:val="28682FE3"/>
    <w:rsid w:val="291D0C4F"/>
    <w:rsid w:val="294E705B"/>
    <w:rsid w:val="29891E41"/>
    <w:rsid w:val="299B3862"/>
    <w:rsid w:val="29FD282F"/>
    <w:rsid w:val="2A124972"/>
    <w:rsid w:val="2A253741"/>
    <w:rsid w:val="2A617E81"/>
    <w:rsid w:val="2AA7448F"/>
    <w:rsid w:val="2ABB4970"/>
    <w:rsid w:val="2AED0E83"/>
    <w:rsid w:val="2B0D0850"/>
    <w:rsid w:val="2B113A97"/>
    <w:rsid w:val="2B1E480B"/>
    <w:rsid w:val="2B2006FF"/>
    <w:rsid w:val="2B7E174D"/>
    <w:rsid w:val="2BAE7DC9"/>
    <w:rsid w:val="2BD41802"/>
    <w:rsid w:val="2BE53280"/>
    <w:rsid w:val="2C424529"/>
    <w:rsid w:val="2C5D2581"/>
    <w:rsid w:val="2D001B1A"/>
    <w:rsid w:val="2D530423"/>
    <w:rsid w:val="2D5F08EF"/>
    <w:rsid w:val="2D6F31C0"/>
    <w:rsid w:val="2E093550"/>
    <w:rsid w:val="2EA342C1"/>
    <w:rsid w:val="2EA634DC"/>
    <w:rsid w:val="2EBD369F"/>
    <w:rsid w:val="2ED20AEB"/>
    <w:rsid w:val="2F5B602D"/>
    <w:rsid w:val="2FAA7085"/>
    <w:rsid w:val="301E1907"/>
    <w:rsid w:val="30240B15"/>
    <w:rsid w:val="30AC568D"/>
    <w:rsid w:val="30AD35D4"/>
    <w:rsid w:val="30C27406"/>
    <w:rsid w:val="30DA71DA"/>
    <w:rsid w:val="30E5758C"/>
    <w:rsid w:val="31097137"/>
    <w:rsid w:val="313461DC"/>
    <w:rsid w:val="313528AE"/>
    <w:rsid w:val="315C7ECA"/>
    <w:rsid w:val="3167733C"/>
    <w:rsid w:val="3173124F"/>
    <w:rsid w:val="31EE1FB8"/>
    <w:rsid w:val="31F86124"/>
    <w:rsid w:val="326A2A2B"/>
    <w:rsid w:val="32AC4DF2"/>
    <w:rsid w:val="32B81199"/>
    <w:rsid w:val="330C4BDB"/>
    <w:rsid w:val="339E2391"/>
    <w:rsid w:val="33A2516B"/>
    <w:rsid w:val="33A92693"/>
    <w:rsid w:val="33C63297"/>
    <w:rsid w:val="3420663B"/>
    <w:rsid w:val="342B6450"/>
    <w:rsid w:val="344A16FB"/>
    <w:rsid w:val="34C53F49"/>
    <w:rsid w:val="35432EF2"/>
    <w:rsid w:val="3569358A"/>
    <w:rsid w:val="359E6C74"/>
    <w:rsid w:val="35CE72AF"/>
    <w:rsid w:val="361531EB"/>
    <w:rsid w:val="36462ACF"/>
    <w:rsid w:val="36767802"/>
    <w:rsid w:val="36CE44BD"/>
    <w:rsid w:val="3713385A"/>
    <w:rsid w:val="374F56CD"/>
    <w:rsid w:val="379239EA"/>
    <w:rsid w:val="37FC5A23"/>
    <w:rsid w:val="391E03F5"/>
    <w:rsid w:val="392C27E9"/>
    <w:rsid w:val="39CA2BC5"/>
    <w:rsid w:val="3A2D6C50"/>
    <w:rsid w:val="3A766297"/>
    <w:rsid w:val="3AFC42C0"/>
    <w:rsid w:val="3B2F16B7"/>
    <w:rsid w:val="3B64270E"/>
    <w:rsid w:val="3BA00212"/>
    <w:rsid w:val="3BB40C45"/>
    <w:rsid w:val="3BBB240E"/>
    <w:rsid w:val="3BC839CB"/>
    <w:rsid w:val="3BE42C77"/>
    <w:rsid w:val="3BFF5F92"/>
    <w:rsid w:val="3C4A1903"/>
    <w:rsid w:val="3C8F071A"/>
    <w:rsid w:val="3C940F04"/>
    <w:rsid w:val="3D1A67AD"/>
    <w:rsid w:val="3D1C245F"/>
    <w:rsid w:val="3D4C14DA"/>
    <w:rsid w:val="3DAA67EA"/>
    <w:rsid w:val="3DAC37A6"/>
    <w:rsid w:val="3DFE4381"/>
    <w:rsid w:val="3E927592"/>
    <w:rsid w:val="3F2F723D"/>
    <w:rsid w:val="3F86126B"/>
    <w:rsid w:val="3F8805CA"/>
    <w:rsid w:val="3FAF7CCF"/>
    <w:rsid w:val="4057639D"/>
    <w:rsid w:val="40C66D7C"/>
    <w:rsid w:val="40C87E01"/>
    <w:rsid w:val="40CD7D8B"/>
    <w:rsid w:val="40D03CF0"/>
    <w:rsid w:val="4162566B"/>
    <w:rsid w:val="417E5BAB"/>
    <w:rsid w:val="419569C9"/>
    <w:rsid w:val="41A3367B"/>
    <w:rsid w:val="41B93D8E"/>
    <w:rsid w:val="42E324BF"/>
    <w:rsid w:val="435272F0"/>
    <w:rsid w:val="43B32386"/>
    <w:rsid w:val="43FC0159"/>
    <w:rsid w:val="445A54A3"/>
    <w:rsid w:val="446E5ABA"/>
    <w:rsid w:val="448E27E0"/>
    <w:rsid w:val="44A010D3"/>
    <w:rsid w:val="44C63EF6"/>
    <w:rsid w:val="450F2F4D"/>
    <w:rsid w:val="455C02BA"/>
    <w:rsid w:val="45974534"/>
    <w:rsid w:val="460778FA"/>
    <w:rsid w:val="46157DE1"/>
    <w:rsid w:val="46390A32"/>
    <w:rsid w:val="46BB51AC"/>
    <w:rsid w:val="47BB36B5"/>
    <w:rsid w:val="47C17695"/>
    <w:rsid w:val="47E250E6"/>
    <w:rsid w:val="48254FD3"/>
    <w:rsid w:val="482853D0"/>
    <w:rsid w:val="484130D8"/>
    <w:rsid w:val="487B2E45"/>
    <w:rsid w:val="488419C4"/>
    <w:rsid w:val="48B53D5E"/>
    <w:rsid w:val="48BA7693"/>
    <w:rsid w:val="48E1614C"/>
    <w:rsid w:val="49296D45"/>
    <w:rsid w:val="49463453"/>
    <w:rsid w:val="495D2A63"/>
    <w:rsid w:val="4962490E"/>
    <w:rsid w:val="49C21F60"/>
    <w:rsid w:val="4A2B46A6"/>
    <w:rsid w:val="4A43504F"/>
    <w:rsid w:val="4A77471A"/>
    <w:rsid w:val="4A8325B4"/>
    <w:rsid w:val="4A843E98"/>
    <w:rsid w:val="4B2F5D46"/>
    <w:rsid w:val="4C462B7D"/>
    <w:rsid w:val="4C653FA5"/>
    <w:rsid w:val="4C7A2F8A"/>
    <w:rsid w:val="4C9452B1"/>
    <w:rsid w:val="4CB4602F"/>
    <w:rsid w:val="4CC0037C"/>
    <w:rsid w:val="4CF3001A"/>
    <w:rsid w:val="4CF46F70"/>
    <w:rsid w:val="4DA802B3"/>
    <w:rsid w:val="4DD116C7"/>
    <w:rsid w:val="4E9632DF"/>
    <w:rsid w:val="4EB073B6"/>
    <w:rsid w:val="4EC67983"/>
    <w:rsid w:val="4EE541A0"/>
    <w:rsid w:val="4FB335BE"/>
    <w:rsid w:val="50081462"/>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567E33"/>
    <w:rsid w:val="57935C2B"/>
    <w:rsid w:val="579B705F"/>
    <w:rsid w:val="57AE0B41"/>
    <w:rsid w:val="57C57028"/>
    <w:rsid w:val="57CC4E98"/>
    <w:rsid w:val="57E16138"/>
    <w:rsid w:val="580F5323"/>
    <w:rsid w:val="58331046"/>
    <w:rsid w:val="585B1535"/>
    <w:rsid w:val="586104BF"/>
    <w:rsid w:val="58815BB6"/>
    <w:rsid w:val="58F15E5A"/>
    <w:rsid w:val="591A6C49"/>
    <w:rsid w:val="59861649"/>
    <w:rsid w:val="5999137D"/>
    <w:rsid w:val="5A017314"/>
    <w:rsid w:val="5A0D0A2D"/>
    <w:rsid w:val="5A3918D1"/>
    <w:rsid w:val="5A5257C7"/>
    <w:rsid w:val="5A545413"/>
    <w:rsid w:val="5A912E85"/>
    <w:rsid w:val="5A9F4BAA"/>
    <w:rsid w:val="5AC2519E"/>
    <w:rsid w:val="5B114D75"/>
    <w:rsid w:val="5BA612DD"/>
    <w:rsid w:val="5BA65FD3"/>
    <w:rsid w:val="5BE65BED"/>
    <w:rsid w:val="5C4F45D9"/>
    <w:rsid w:val="5C7435C7"/>
    <w:rsid w:val="5CB5143D"/>
    <w:rsid w:val="5CBD5382"/>
    <w:rsid w:val="5CFB2509"/>
    <w:rsid w:val="5D7C6FEB"/>
    <w:rsid w:val="5DCA3BC2"/>
    <w:rsid w:val="5DCD3D84"/>
    <w:rsid w:val="5E156CE8"/>
    <w:rsid w:val="5E714676"/>
    <w:rsid w:val="5E865978"/>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4D4E28"/>
    <w:rsid w:val="64793D54"/>
    <w:rsid w:val="64846AFF"/>
    <w:rsid w:val="65C8066C"/>
    <w:rsid w:val="65F2282A"/>
    <w:rsid w:val="665D0DC8"/>
    <w:rsid w:val="66753360"/>
    <w:rsid w:val="670D06CD"/>
    <w:rsid w:val="672656D9"/>
    <w:rsid w:val="67565C7E"/>
    <w:rsid w:val="675954A1"/>
    <w:rsid w:val="67A46A60"/>
    <w:rsid w:val="67A665F9"/>
    <w:rsid w:val="67B05F5B"/>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A2904FB"/>
    <w:rsid w:val="6A2C1D99"/>
    <w:rsid w:val="6ADA4CF4"/>
    <w:rsid w:val="6B167C88"/>
    <w:rsid w:val="6BC50BD6"/>
    <w:rsid w:val="6BD74428"/>
    <w:rsid w:val="6CC44C93"/>
    <w:rsid w:val="6D4249BD"/>
    <w:rsid w:val="6D5239D7"/>
    <w:rsid w:val="6DA73C10"/>
    <w:rsid w:val="6DD76181"/>
    <w:rsid w:val="6DF77C1C"/>
    <w:rsid w:val="6E0E3C8F"/>
    <w:rsid w:val="6E354F33"/>
    <w:rsid w:val="6EF14DCE"/>
    <w:rsid w:val="6FCD69DE"/>
    <w:rsid w:val="700D38BA"/>
    <w:rsid w:val="702A75CC"/>
    <w:rsid w:val="713C4FB8"/>
    <w:rsid w:val="71A05546"/>
    <w:rsid w:val="71AA5D0F"/>
    <w:rsid w:val="71E5623C"/>
    <w:rsid w:val="722E5CA0"/>
    <w:rsid w:val="724F304C"/>
    <w:rsid w:val="72593834"/>
    <w:rsid w:val="725B71E8"/>
    <w:rsid w:val="72A75159"/>
    <w:rsid w:val="73474106"/>
    <w:rsid w:val="738A025C"/>
    <w:rsid w:val="748B40F7"/>
    <w:rsid w:val="758A339B"/>
    <w:rsid w:val="759060C1"/>
    <w:rsid w:val="75964A50"/>
    <w:rsid w:val="75C225F2"/>
    <w:rsid w:val="7625601A"/>
    <w:rsid w:val="76292D9B"/>
    <w:rsid w:val="76366479"/>
    <w:rsid w:val="763C15B6"/>
    <w:rsid w:val="76593F16"/>
    <w:rsid w:val="767C78F2"/>
    <w:rsid w:val="76A005BE"/>
    <w:rsid w:val="76C770D1"/>
    <w:rsid w:val="772E0EFE"/>
    <w:rsid w:val="7743072A"/>
    <w:rsid w:val="77541B63"/>
    <w:rsid w:val="7758279B"/>
    <w:rsid w:val="77C6748E"/>
    <w:rsid w:val="77D31AA6"/>
    <w:rsid w:val="77E96D32"/>
    <w:rsid w:val="781406A8"/>
    <w:rsid w:val="784547D6"/>
    <w:rsid w:val="78463A7B"/>
    <w:rsid w:val="789B408A"/>
    <w:rsid w:val="78D60608"/>
    <w:rsid w:val="793D7990"/>
    <w:rsid w:val="793F2F4F"/>
    <w:rsid w:val="795175A4"/>
    <w:rsid w:val="798B24E5"/>
    <w:rsid w:val="79CF4DFE"/>
    <w:rsid w:val="7A141D64"/>
    <w:rsid w:val="7A770D9F"/>
    <w:rsid w:val="7AB0596B"/>
    <w:rsid w:val="7AFB1A3F"/>
    <w:rsid w:val="7B0914F7"/>
    <w:rsid w:val="7B3D1E83"/>
    <w:rsid w:val="7BC2430B"/>
    <w:rsid w:val="7BF137BA"/>
    <w:rsid w:val="7BF30969"/>
    <w:rsid w:val="7C1102ED"/>
    <w:rsid w:val="7C4B2553"/>
    <w:rsid w:val="7CA23153"/>
    <w:rsid w:val="7CDF0622"/>
    <w:rsid w:val="7D313E4E"/>
    <w:rsid w:val="7D3717EE"/>
    <w:rsid w:val="7D4626E5"/>
    <w:rsid w:val="7D4E3432"/>
    <w:rsid w:val="7D5907B2"/>
    <w:rsid w:val="7DA83819"/>
    <w:rsid w:val="7E2F7976"/>
    <w:rsid w:val="7E7F44AE"/>
    <w:rsid w:val="7ECC4309"/>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paragraph" w:styleId="4">
    <w:name w:val="heading 2"/>
    <w:basedOn w:val="1"/>
    <w:next w:val="1"/>
    <w:qFormat/>
    <w:uiPriority w:val="0"/>
    <w:pPr>
      <w:keepNext/>
      <w:keepLines/>
      <w:numPr>
        <w:ilvl w:val="1"/>
        <w:numId w:val="1"/>
      </w:numPr>
      <w:spacing w:before="120" w:after="120" w:line="360" w:lineRule="auto"/>
      <w:outlineLvl w:val="1"/>
    </w:pPr>
    <w:rPr>
      <w:rFonts w:ascii="Arial" w:hAnsi="Arial" w:eastAsia="黑体" w:cs="Times New Roman"/>
      <w:bCs/>
      <w:sz w:val="32"/>
      <w:szCs w:val="32"/>
    </w:rPr>
  </w:style>
  <w:style w:type="paragraph" w:styleId="5">
    <w:name w:val="heading 3"/>
    <w:basedOn w:val="1"/>
    <w:next w:val="1"/>
    <w:qFormat/>
    <w:uiPriority w:val="9"/>
    <w:pPr>
      <w:keepNext/>
      <w:keepLines/>
      <w:numPr>
        <w:ilvl w:val="2"/>
        <w:numId w:val="1"/>
      </w:numPr>
      <w:adjustRightInd w:val="0"/>
      <w:snapToGrid w:val="0"/>
      <w:spacing w:before="120" w:after="120"/>
      <w:ind w:left="0"/>
      <w:outlineLvl w:val="2"/>
    </w:pPr>
    <w:rPr>
      <w:rFonts w:ascii="Times New Roman" w:hAnsi="Times New Roman" w:eastAsia="黑体" w:cs="Times New Roman"/>
      <w:bCs/>
      <w:sz w:val="30"/>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6">
    <w:name w:val="Body Text"/>
    <w:basedOn w:val="1"/>
    <w:qFormat/>
    <w:uiPriority w:val="0"/>
    <w:pPr>
      <w:jc w:val="center"/>
    </w:pPr>
    <w:rPr>
      <w:rFonts w:eastAsia="仿宋_GB2312"/>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TML Typewriter"/>
    <w:qFormat/>
    <w:uiPriority w:val="0"/>
    <w:rPr>
      <w:rFonts w:ascii="宋体" w:hAnsi="宋体" w:eastAsia="宋体" w:cs="宋体"/>
      <w:sz w:val="24"/>
      <w:szCs w:val="24"/>
    </w:rPr>
  </w:style>
  <w:style w:type="character" w:styleId="13">
    <w:name w:val="Hyperlink"/>
    <w:unhideWhenUsed/>
    <w:qFormat/>
    <w:uiPriority w:val="99"/>
    <w:rPr>
      <w:color w:val="0000FF"/>
      <w:u w:val="single"/>
    </w:rPr>
  </w:style>
  <w:style w:type="paragraph" w:customStyle="1" w:styleId="14">
    <w:name w:val="普通文字"/>
    <w:basedOn w:val="1"/>
    <w:next w:val="1"/>
    <w:qFormat/>
    <w:uiPriority w:val="0"/>
    <w:rPr>
      <w:rFonts w:ascii="宋体" w:hAnsi="Times New Roman" w:eastAsia="宋体"/>
      <w:kern w:val="0"/>
      <w:sz w:val="24"/>
      <w:szCs w:val="20"/>
      <w:u w:color="000000"/>
    </w:rPr>
  </w:style>
  <w:style w:type="paragraph" w:customStyle="1" w:styleId="15">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13515</Words>
  <Characters>14050</Characters>
  <Lines>150</Lines>
  <Paragraphs>42</Paragraphs>
  <TotalTime>0</TotalTime>
  <ScaleCrop>false</ScaleCrop>
  <LinksUpToDate>false</LinksUpToDate>
  <CharactersWithSpaces>14682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2022-04-02T07:14:00Z</dcterms:created>
  <dc:creator>永乐</dc:creator>
  <cp:lastModifiedBy>梁鑫晨</cp:lastModifiedBy>
  <cp:lastPrinted>2023-05-05T08:29:00Z</cp:lastPrinted>
  <dcterms:modified xsi:type="dcterms:W3CDTF">2023-05-05T09:26:50Z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KSOSaveFontToCloudKey">
    <vt:lpwstr>425223680_cloud</vt:lpwstr>
  </property>
  <property fmtid="{D5CDD505-2E9C-101B-9397-08002B2CF9AE}" pid="4" name="ICV">
    <vt:lpwstr>AB31D31F0467460389EBC1E77189B977</vt:lpwstr>
  </property>
</Properties>
</file>