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采购项目编号：TZZFBJC2023002</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采购项目名称：2023年泰州市政府网站群季度监测服务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二〇二三年</w:t>
      </w:r>
      <w:r>
        <w:rPr>
          <w:rFonts w:hint="eastAsia" w:ascii="黑体" w:hAnsi="黑体" w:eastAsia="黑体" w:cs="黑体"/>
          <w:color w:val="000000" w:themeColor="text1"/>
          <w:sz w:val="30"/>
          <w:szCs w:val="30"/>
          <w:lang w:val="en-US" w:eastAsia="zh-CN"/>
          <w14:textFill>
            <w14:solidFill>
              <w14:schemeClr w14:val="tx1"/>
            </w14:solidFill>
          </w14:textFill>
        </w:rPr>
        <w:t>六</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我单位对2023年泰州市政府网站群季度监测服务项目进行竞争性磋商采购，欢迎符合相关条件的供应商参加磋商并提请注意下列相关事项：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1.项目名称：2023年泰州市政府网站群季度监测服务</w:t>
      </w:r>
    </w:p>
    <w:p>
      <w:pPr>
        <w:ind w:firstLine="560" w:firstLineChars="200"/>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color w:val="000000" w:themeColor="text1"/>
          <w:sz w:val="30"/>
          <w:szCs w:val="30"/>
          <w14:textFill>
            <w14:solidFill>
              <w14:schemeClr w14:val="tx1"/>
            </w14:solidFill>
          </w14:textFill>
        </w:rPr>
        <w:t>TZZFBJC2023002</w:t>
      </w:r>
    </w:p>
    <w:p>
      <w:pPr>
        <w:ind w:firstLine="600" w:firstLineChars="2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3.项目预算：25万元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磋商文件接收开始时间：2023年</w:t>
      </w:r>
      <w:r>
        <w:rPr>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13</w:t>
      </w:r>
      <w:r>
        <w:rPr>
          <w:rFonts w:hint="eastAsia" w:ascii="黑体" w:hAnsi="黑体" w:eastAsia="黑体" w:cs="黑体"/>
          <w:color w:val="000000" w:themeColor="text1"/>
          <w:sz w:val="28"/>
          <w:szCs w:val="28"/>
          <w14:textFill>
            <w14:solidFill>
              <w14:schemeClr w14:val="tx1"/>
            </w14:solidFill>
          </w14:textFill>
        </w:rPr>
        <w:t>日 9:00</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磋商文件接收截止时间：2023年</w:t>
      </w:r>
      <w:r>
        <w:rPr>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13</w:t>
      </w:r>
      <w:r>
        <w:rPr>
          <w:rFonts w:hint="eastAsia" w:ascii="黑体" w:hAnsi="黑体" w:eastAsia="黑体" w:cs="黑体"/>
          <w:color w:val="000000" w:themeColor="text1"/>
          <w:sz w:val="28"/>
          <w:szCs w:val="28"/>
          <w14:textFill>
            <w14:solidFill>
              <w14:schemeClr w14:val="tx1"/>
            </w14:solidFill>
          </w14:textFill>
        </w:rPr>
        <w:t>日 9:30，磋商截止时间后的磋商文件恕不接受</w:t>
      </w:r>
    </w:p>
    <w:p>
      <w:pPr>
        <w:ind w:firstLine="560" w:firstLineChars="200"/>
        <w:rPr>
          <w:rFonts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磋商文件接收地点：泰州市机关大院（泰州市海陵区凤凰东路58号）主楼二楼中间会议室。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采购联系人：梁先生 电话：0523-86839100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fldChar w:fldCharType="begin"/>
      </w:r>
      <w:r>
        <w:instrText xml:space="preserve"> HYPERLINK "http://download.ccgp.gov.cn/2018/zhiyihanfanben.zip" \t "_blank" </w:instrText>
      </w:r>
      <w: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三．项目技术配置和有关说明"/>
      <w:bookmarkEnd w:id="6"/>
      <w:bookmarkStart w:id="7" w:name="四．合同书"/>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（一）详尽的技术及服务要求</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1、项目背景</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政府网站是“互联网</w:t>
      </w:r>
      <w:r>
        <w:rPr>
          <w:rFonts w:ascii="宋体" w:hAnsi="宋体" w:eastAsia="宋体" w:cs="宋体"/>
          <w:color w:val="000000" w:themeColor="text1"/>
          <w:kern w:val="0"/>
          <w:sz w:val="28"/>
          <w:szCs w:val="28"/>
          <w14:textFill>
            <w14:solidFill>
              <w14:schemeClr w14:val="tx1"/>
            </w14:solidFill>
          </w14:textFill>
        </w:rPr>
        <w:t>+”时代打造阳光政府、法治政府的新载体，是</w:t>
      </w:r>
      <w:r>
        <w:rPr>
          <w:rFonts w:hint="eastAsia" w:ascii="宋体" w:hAnsi="宋体" w:eastAsia="宋体" w:cs="宋体"/>
          <w:color w:val="000000" w:themeColor="text1"/>
          <w:kern w:val="0"/>
          <w:sz w:val="28"/>
          <w:szCs w:val="28"/>
          <w14:textFill>
            <w14:solidFill>
              <w14:schemeClr w14:val="tx1"/>
            </w14:solidFill>
          </w14:textFill>
        </w:rPr>
        <w:t>数字化</w:t>
      </w:r>
      <w:r>
        <w:rPr>
          <w:rFonts w:ascii="宋体" w:hAnsi="宋体" w:eastAsia="宋体" w:cs="宋体"/>
          <w:color w:val="000000" w:themeColor="text1"/>
          <w:kern w:val="0"/>
          <w:sz w:val="28"/>
          <w:szCs w:val="28"/>
          <w14:textFill>
            <w14:solidFill>
              <w14:schemeClr w14:val="tx1"/>
            </w14:solidFill>
          </w14:textFill>
        </w:rPr>
        <w:t>转型条件下政府密切联系人民群众的重要桥梁，也是网络时代政府履行职责的重要平台。作为政府面向公众的第一门户，政府网站在政府工作中发挥着重要作用。</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泰州市政府网站群经过多年的建设与完善，</w:t>
      </w:r>
      <w:r>
        <w:rPr>
          <w:rFonts w:hint="eastAsia" w:ascii="宋体" w:hAnsi="宋体" w:eastAsia="宋体" w:cs="宋体"/>
          <w:color w:val="000000" w:themeColor="text1"/>
          <w:kern w:val="0"/>
          <w:sz w:val="28"/>
          <w:szCs w:val="28"/>
          <w:lang w:val="en-US" w:eastAsia="zh-CN"/>
          <w14:textFill>
            <w14:solidFill>
              <w14:schemeClr w14:val="tx1"/>
            </w14:solidFill>
          </w14:textFill>
        </w:rPr>
        <w:t>已</w:t>
      </w:r>
      <w:r>
        <w:rPr>
          <w:rFonts w:hint="eastAsia" w:ascii="宋体" w:hAnsi="宋体" w:eastAsia="宋体" w:cs="宋体"/>
          <w:color w:val="000000" w:themeColor="text1"/>
          <w:kern w:val="0"/>
          <w:sz w:val="28"/>
          <w:szCs w:val="28"/>
          <w14:textFill>
            <w14:solidFill>
              <w14:schemeClr w14:val="tx1"/>
            </w14:solidFill>
          </w14:textFill>
        </w:rPr>
        <w:t>形成一个有机整体，极大地促进了全市政务网站信息资源的整合和共享，总体处于国内领先地位。但网站群中各网站间仍然存在发展水平差距明显的问题，部分网站在运维保障方面还有较大的提升空间。</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为贯彻落实《国务院办公厅关于印发政府网站发展指引的通知》（国办发〔</w:t>
      </w:r>
      <w:r>
        <w:rPr>
          <w:rFonts w:ascii="宋体" w:hAnsi="宋体" w:eastAsia="宋体" w:cs="宋体"/>
          <w:color w:val="000000" w:themeColor="text1"/>
          <w:kern w:val="0"/>
          <w:sz w:val="28"/>
          <w:szCs w:val="28"/>
          <w14:textFill>
            <w14:solidFill>
              <w14:schemeClr w14:val="tx1"/>
            </w14:solidFill>
          </w14:textFill>
        </w:rPr>
        <w:t>2017〕47号）、《国务院关于加快推进“互联网+政务服务”工作的指导意见》（国发〔2016〕55号）、《国务院办公厅秘书局关于印发政府网站与政务新媒体检查指标、监管工作年度考核指标的通知》等文件要求</w:t>
      </w:r>
      <w:r>
        <w:rPr>
          <w:rFonts w:hint="eastAsia" w:ascii="宋体" w:hAnsi="宋体" w:eastAsia="宋体" w:cs="宋体"/>
          <w:color w:val="000000" w:themeColor="text1"/>
          <w:kern w:val="0"/>
          <w:sz w:val="28"/>
          <w:szCs w:val="28"/>
          <w14:textFill>
            <w14:solidFill>
              <w14:schemeClr w14:val="tx1"/>
            </w14:solidFill>
          </w14:textFill>
        </w:rPr>
        <w:t>，应对国办对全国政府网站的每半年抽查、江苏省政府办对全省政府网站的季度抽查，提高泰州市各运行中政府网站的信息内容质量，全面提升泰州市政府网站群的权威性和影响力，维护政府公信力，决定开展泰州市政府网站群季度监测服务采购。</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2、项目内容和要求</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依据国办政府网站检查指标，</w:t>
      </w:r>
      <w:r>
        <w:rPr>
          <w:rFonts w:hint="eastAsia" w:ascii="宋体" w:hAnsi="宋体" w:eastAsia="宋体" w:cs="宋体"/>
          <w:color w:val="000000" w:themeColor="text1"/>
          <w:kern w:val="0"/>
          <w:sz w:val="28"/>
          <w:szCs w:val="28"/>
          <w:lang w:val="en-US" w:eastAsia="zh-CN"/>
          <w14:textFill>
            <w14:solidFill>
              <w14:schemeClr w14:val="tx1"/>
            </w14:solidFill>
          </w14:textFill>
        </w:rPr>
        <w:t>根据采购方要求，服务期内</w:t>
      </w:r>
      <w:r>
        <w:rPr>
          <w:rFonts w:hint="eastAsia" w:ascii="宋体" w:hAnsi="宋体" w:eastAsia="宋体" w:cs="宋体"/>
          <w:color w:val="000000" w:themeColor="text1"/>
          <w:kern w:val="0"/>
          <w:sz w:val="28"/>
          <w:szCs w:val="28"/>
          <w14:textFill>
            <w14:solidFill>
              <w14:schemeClr w14:val="tx1"/>
            </w14:solidFill>
          </w14:textFill>
        </w:rPr>
        <w:t>对泰州市政府网站群开展全面监测检查工作，</w:t>
      </w:r>
      <w:r>
        <w:rPr>
          <w:rFonts w:hint="eastAsia" w:ascii="宋体" w:hAnsi="宋体" w:eastAsia="宋体" w:cs="宋体"/>
          <w:color w:val="000000" w:themeColor="text1"/>
          <w:kern w:val="0"/>
          <w:sz w:val="28"/>
          <w:szCs w:val="28"/>
          <w:lang w:val="en-US" w:eastAsia="zh-CN"/>
          <w14:textFill>
            <w14:solidFill>
              <w14:schemeClr w14:val="tx1"/>
            </w14:solidFill>
          </w14:textFill>
        </w:rPr>
        <w:t>不少于</w:t>
      </w:r>
      <w:r>
        <w:rPr>
          <w:rFonts w:hint="eastAsia" w:ascii="宋体" w:hAnsi="宋体" w:eastAsia="宋体" w:cs="宋体"/>
          <w:color w:val="000000" w:themeColor="text1"/>
          <w:kern w:val="0"/>
          <w:sz w:val="28"/>
          <w:szCs w:val="28"/>
          <w14:textFill>
            <w14:solidFill>
              <w14:schemeClr w14:val="tx1"/>
            </w14:solidFill>
          </w14:textFill>
        </w:rPr>
        <w:t>8期。运</w:t>
      </w:r>
      <w:r>
        <w:rPr>
          <w:rFonts w:ascii="宋体" w:hAnsi="宋体" w:eastAsia="宋体" w:cs="宋体"/>
          <w:color w:val="000000" w:themeColor="text1"/>
          <w:kern w:val="0"/>
          <w:sz w:val="28"/>
          <w:szCs w:val="28"/>
          <w14:textFill>
            <w14:solidFill>
              <w14:schemeClr w14:val="tx1"/>
            </w14:solidFill>
          </w14:textFill>
        </w:rPr>
        <w:t>用人工比对分析、软件系统工具扫描等方式，重点发现群众反映强烈的“不及时、不准确、不回应、不实用”等问题，记录评分采样过程和扣分原因，出具《各单位网站季度监测报告》。</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（1）检查对象</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一是泰州市</w:t>
      </w:r>
      <w:r>
        <w:rPr>
          <w:rFonts w:hint="eastAsia" w:ascii="宋体" w:hAnsi="宋体" w:eastAsia="宋体" w:cs="宋体"/>
          <w:color w:val="000000" w:themeColor="text1"/>
          <w:kern w:val="0"/>
          <w:sz w:val="28"/>
          <w:szCs w:val="28"/>
          <w:lang w:val="en-US" w:eastAsia="zh-CN"/>
          <w14:textFill>
            <w14:solidFill>
              <w14:schemeClr w14:val="tx1"/>
            </w14:solidFill>
          </w14:textFill>
        </w:rPr>
        <w:t>政府</w:t>
      </w:r>
      <w:r>
        <w:rPr>
          <w:rFonts w:hint="eastAsia" w:ascii="宋体" w:hAnsi="宋体" w:eastAsia="宋体" w:cs="宋体"/>
          <w:color w:val="000000" w:themeColor="text1"/>
          <w:kern w:val="0"/>
          <w:sz w:val="28"/>
          <w:szCs w:val="28"/>
          <w14:textFill>
            <w14:solidFill>
              <w14:schemeClr w14:val="tx1"/>
            </w14:solidFill>
          </w14:textFill>
        </w:rPr>
        <w:t>门户网站和市</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区</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政府门户网站；</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二是</w:t>
      </w:r>
      <w:r>
        <w:rPr>
          <w:rFonts w:hint="eastAsia" w:ascii="宋体" w:hAnsi="宋体" w:eastAsia="宋体" w:cs="宋体"/>
          <w:color w:val="000000" w:themeColor="text1"/>
          <w:kern w:val="0"/>
          <w:sz w:val="28"/>
          <w:szCs w:val="28"/>
          <w:lang w:val="en-US" w:eastAsia="zh-CN"/>
          <w14:textFill>
            <w14:solidFill>
              <w14:schemeClr w14:val="tx1"/>
            </w14:solidFill>
          </w14:textFill>
        </w:rPr>
        <w:t>泰州</w:t>
      </w:r>
      <w:r>
        <w:rPr>
          <w:rFonts w:hint="eastAsia" w:ascii="宋体" w:hAnsi="宋体" w:eastAsia="宋体" w:cs="宋体"/>
          <w:color w:val="000000" w:themeColor="text1"/>
          <w:kern w:val="0"/>
          <w:sz w:val="28"/>
          <w:szCs w:val="28"/>
          <w14:textFill>
            <w14:solidFill>
              <w14:schemeClr w14:val="tx1"/>
            </w14:solidFill>
          </w14:textFill>
        </w:rPr>
        <w:t>市</w:t>
      </w:r>
      <w:r>
        <w:rPr>
          <w:rFonts w:hint="eastAsia" w:ascii="宋体" w:hAnsi="宋体" w:eastAsia="宋体" w:cs="宋体"/>
          <w:color w:val="000000" w:themeColor="text1"/>
          <w:kern w:val="0"/>
          <w:sz w:val="28"/>
          <w:szCs w:val="28"/>
          <w:lang w:val="en-US" w:eastAsia="zh-CN"/>
          <w14:textFill>
            <w14:solidFill>
              <w14:schemeClr w14:val="tx1"/>
            </w14:solidFill>
          </w14:textFill>
        </w:rPr>
        <w:t>政府网站群中各</w:t>
      </w:r>
      <w:r>
        <w:rPr>
          <w:rFonts w:hint="eastAsia" w:ascii="宋体" w:hAnsi="宋体" w:eastAsia="宋体" w:cs="宋体"/>
          <w:color w:val="000000" w:themeColor="text1"/>
          <w:kern w:val="0"/>
          <w:sz w:val="28"/>
          <w:szCs w:val="28"/>
          <w14:textFill>
            <w14:solidFill>
              <w14:schemeClr w14:val="tx1"/>
            </w14:solidFill>
          </w14:textFill>
        </w:rPr>
        <w:t>委办局网站。</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备注：接受季度检查的</w:t>
      </w:r>
      <w:r>
        <w:rPr>
          <w:rFonts w:hint="eastAsia" w:ascii="宋体" w:hAnsi="宋体" w:eastAsia="宋体" w:cs="宋体"/>
          <w:color w:val="000000" w:themeColor="text1"/>
          <w:kern w:val="0"/>
          <w:sz w:val="28"/>
          <w:szCs w:val="28"/>
          <w:lang w:val="en-US" w:eastAsia="zh-CN"/>
          <w14:textFill>
            <w14:solidFill>
              <w14:schemeClr w14:val="tx1"/>
            </w14:solidFill>
          </w14:textFill>
        </w:rPr>
        <w:t>各</w:t>
      </w:r>
      <w:r>
        <w:rPr>
          <w:rFonts w:hint="eastAsia" w:ascii="宋体" w:hAnsi="宋体" w:eastAsia="宋体" w:cs="宋体"/>
          <w:color w:val="000000" w:themeColor="text1"/>
          <w:kern w:val="0"/>
          <w:sz w:val="28"/>
          <w:szCs w:val="28"/>
          <w14:textFill>
            <w14:solidFill>
              <w14:schemeClr w14:val="tx1"/>
            </w14:solidFill>
          </w14:textFill>
        </w:rPr>
        <w:t>委办局网站数量，以检查当时实际正常运行的网站数量为准。</w:t>
      </w:r>
    </w:p>
    <w:p>
      <w:pPr>
        <w:ind w:firstLine="560" w:firstLineChars="200"/>
        <w:outlineLvl w:val="3"/>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2</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检查指标依据及检查方式</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ascii="宋体" w:hAnsi="宋体" w:eastAsia="宋体" w:cs="宋体"/>
          <w:color w:val="000000" w:themeColor="text1"/>
          <w:kern w:val="0"/>
          <w:sz w:val="28"/>
          <w:szCs w:val="28"/>
          <w14:textFill>
            <w14:solidFill>
              <w14:schemeClr w14:val="tx1"/>
            </w14:solidFill>
          </w14:textFill>
        </w:rPr>
        <w:t>各</w:t>
      </w:r>
      <w:r>
        <w:rPr>
          <w:rFonts w:hint="eastAsia" w:ascii="宋体" w:hAnsi="宋体" w:eastAsia="宋体" w:cs="宋体"/>
          <w:color w:val="000000" w:themeColor="text1"/>
          <w:kern w:val="0"/>
          <w:sz w:val="28"/>
          <w:szCs w:val="28"/>
          <w14:textFill>
            <w14:solidFill>
              <w14:schemeClr w14:val="tx1"/>
            </w14:solidFill>
          </w14:textFill>
        </w:rPr>
        <w:t>委办局网站及专栏网站按照国办《全国网站普查评分表》各项标准及《政府网站与政务新媒体检查指标》中单项否决指标（不含政务新媒体）进行检查。</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泰州市</w:t>
      </w:r>
      <w:r>
        <w:rPr>
          <w:rFonts w:hint="eastAsia" w:ascii="宋体" w:hAnsi="宋体" w:eastAsia="宋体" w:cs="宋体"/>
          <w:color w:val="000000" w:themeColor="text1"/>
          <w:kern w:val="0"/>
          <w:sz w:val="28"/>
          <w:szCs w:val="28"/>
          <w:lang w:val="en-US" w:eastAsia="zh-CN"/>
          <w14:textFill>
            <w14:solidFill>
              <w14:schemeClr w14:val="tx1"/>
            </w14:solidFill>
          </w14:textFill>
        </w:rPr>
        <w:t>政府</w:t>
      </w:r>
      <w:r>
        <w:rPr>
          <w:rFonts w:hint="eastAsia" w:ascii="宋体" w:hAnsi="宋体" w:eastAsia="宋体" w:cs="宋体"/>
          <w:color w:val="000000" w:themeColor="text1"/>
          <w:kern w:val="0"/>
          <w:sz w:val="28"/>
          <w:szCs w:val="28"/>
          <w14:textFill>
            <w14:solidFill>
              <w14:schemeClr w14:val="tx1"/>
            </w14:solidFill>
          </w14:textFill>
        </w:rPr>
        <w:t>门户网站和市</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区</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政府门户网站按照《政府网站与政务新媒体检查指标》（不含政务新媒体）进行检查。</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监测服务期内，监测指标内容将根据国家、江苏省和项目需求方的相关要求及时调整。每季度均需对各单位出具监测报告（含错误类别、问题截图、情况说明、整改建议、扣分情况等）。</w:t>
      </w:r>
    </w:p>
    <w:p>
      <w:pPr>
        <w:rPr>
          <w:color w:val="000000" w:themeColor="text1"/>
          <w14:textFill>
            <w14:solidFill>
              <w14:schemeClr w14:val="tx1"/>
            </w14:solidFill>
          </w14:textFill>
        </w:rPr>
      </w:pPr>
    </w:p>
    <w:p>
      <w:pPr>
        <w:spacing w:before="156" w:beforeLines="5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p>
    <w:p>
      <w:pPr>
        <w:spacing w:before="156" w:beforeLines="5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p>
    <w:p>
      <w:pPr>
        <w:spacing w:before="156" w:beforeLines="50"/>
        <w:ind w:firstLine="562" w:firstLineChars="200"/>
        <w:outlineLvl w:val="3"/>
        <w:rPr>
          <w:rFonts w:hint="eastAsia" w:ascii="宋体" w:hAnsi="宋体" w:eastAsia="宋体" w:cs="宋体"/>
          <w:b/>
          <w:color w:val="000000" w:themeColor="text1"/>
          <w:kern w:val="0"/>
          <w:sz w:val="28"/>
          <w:szCs w:val="28"/>
          <w14:textFill>
            <w14:solidFill>
              <w14:schemeClr w14:val="tx1"/>
            </w14:solidFill>
          </w14:textFill>
        </w:rPr>
      </w:pPr>
    </w:p>
    <w:p>
      <w:pPr>
        <w:spacing w:before="156" w:beforeLines="5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全国政府网站普查评分表及检查方式：</w:t>
      </w:r>
    </w:p>
    <w:tbl>
      <w:tblPr>
        <w:tblStyle w:val="7"/>
        <w:tblW w:w="9680" w:type="dxa"/>
        <w:jc w:val="center"/>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048"/>
        <w:gridCol w:w="1195"/>
        <w:gridCol w:w="2630"/>
        <w:gridCol w:w="3648"/>
        <w:gridCol w:w="1159"/>
      </w:tblGrid>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7" w:hRule="atLeast"/>
          <w:tblHeader/>
          <w:jc w:val="center"/>
        </w:trPr>
        <w:tc>
          <w:tcPr>
            <w:tcW w:w="10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一级指标</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二级指标</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考察点</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ascii="Calibri" w:hAnsi="Calibri" w:eastAsia="宋体"/>
                <w:b/>
                <w:color w:val="000000" w:themeColor="text1"/>
                <w:kern w:val="0"/>
                <w:sz w:val="20"/>
                <w:szCs w:val="20"/>
                <w14:textFill>
                  <w14:solidFill>
                    <w14:schemeClr w14:val="tx1"/>
                  </w14:solidFill>
                </w14:textFill>
              </w:rPr>
              <w:t>扣分细则</w:t>
            </w:r>
          </w:p>
        </w:tc>
        <w:tc>
          <w:tcPr>
            <w:tcW w:w="1159" w:type="dxa"/>
            <w:tcBorders>
              <w:top w:val="outset" w:color="000000" w:sz="6" w:space="0"/>
              <w:left w:val="outset" w:color="000000" w:sz="6" w:space="0"/>
              <w:bottom w:val="outset" w:color="000000" w:sz="6" w:space="0"/>
              <w:right w:val="outset" w:color="000000" w:sz="6" w:space="0"/>
            </w:tcBorders>
            <w:shd w:val="clear" w:color="auto" w:fill="FFFFFF"/>
          </w:tcPr>
          <w:p>
            <w:pPr>
              <w:spacing w:line="420" w:lineRule="atLeast"/>
              <w:jc w:val="center"/>
              <w:rPr>
                <w:rFonts w:ascii="Calibri" w:hAnsi="Calibri" w:eastAsia="宋体"/>
                <w:b/>
                <w:color w:val="000000" w:themeColor="text1"/>
                <w:kern w:val="0"/>
                <w:sz w:val="20"/>
                <w:szCs w:val="20"/>
                <w14:textFill>
                  <w14:solidFill>
                    <w14:schemeClr w14:val="tx1"/>
                  </w14:solidFill>
                </w14:textFill>
              </w:rPr>
            </w:pPr>
            <w:r>
              <w:rPr>
                <w:rFonts w:hint="eastAsia" w:ascii="Calibri" w:hAnsi="Calibri" w:eastAsia="宋体"/>
                <w:b/>
                <w:color w:val="000000" w:themeColor="text1"/>
                <w:kern w:val="0"/>
                <w:sz w:val="20"/>
                <w:szCs w:val="20"/>
                <w14:textFill>
                  <w14:solidFill>
                    <w14:schemeClr w14:val="tx1"/>
                  </w14:solidFill>
                </w14:textFill>
              </w:rPr>
              <w:t>检查方式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545"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单项否决</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站点无法访问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首页打不开的次数占全部监测次数的比例。</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监测1周，每天间隔性访问20次以上，超过（含）15秒网站仍打不开的次数比例累计超过（含）5%，即单项否决。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545"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网站不更新</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首页栏目信息更新情况。</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如首页仅为网站栏目导航入口，则检查所有二级页面栏目信息的更新情况。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监测2周，首页栏目无信息更新的，即单项否决。</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（注：未注明信息发布时间的视为不更新，下同。）</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不更新</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1.动态、要闻、通知公告、政策文件等信息长期未更新的栏目数量；</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2.网站中应更新但长期未更新的栏目数量；</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3.网站中的空白栏目（有栏目无内容）数量。</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1.监测时间点前2周内的动态、要闻类栏目，以及监测时间点前6个月内的通知公告、政策文件类栏目，累计超过（含）5个未更新；</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2.网站中应更新但长期未更新的栏目数超过（含）10个；</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3.空白栏目数量超过（含）5个。</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上述情况出现任意一种，即单项否决。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8"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严重错误</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1.网站存在严重错别字；</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2.网站存在虚假或伪造内容；</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3.网站存在反动、暴力、色情等内容。</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网站出现严重错别字（例如，将党和国家领导人姓名写错）、虚假或伪造内容（例如，严重不符合实际情况的文字、图片、视频）以及反动、暴力、色情等内容的，即单项否决。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8"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回应差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互动回应类栏目长期未回应的情况。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监测时间点前1年内，要求对公众信件、留言及时答复处理的政务咨询类栏目（在线访谈、调查征集、举报投诉类栏目除外）中存在超过三个月未回应的现象，即单项否决。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7"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网站可用性</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首页打不开的次数占全部监测次数的比例。</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监测1周，每天间隔性访问20次以上，累计超过（含）15秒网站仍打不开的次数比例每1%扣5分（累计超过（含）5%的，直接列入单项否决）。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链接</w:t>
            </w:r>
          </w:p>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首页及其他页面不能正常访问的链接数量。</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1.首页上的链接（包括图片、附件、外部链接等），每发现一个打不开或错误的，扣1分；如首页仅为网站栏目导航入口，则检查所有二级页面上的链接。</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2.其他页面的链接（包括图片、附件、外部链接等），每发现一个打不开或错误的，扣0.1分。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PrEx>
        <w:trPr>
          <w:trHeight w:val="1545"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信息更新情况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首页栏目信息更新数量。</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如首页仅为网站栏目导航入口，则检查所有二级页面栏目信息更新情况。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监测2周，首页栏目信息更新总量少于10条的，扣5分（2周内首页栏目信息更新总量为0的，直接列入单项否决）。</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985"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基本信息</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1.基本信息更新是否及时；</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2.基本信息内容是否准确。</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1.监测时间点前2周内，动态、要闻类信息，每发现1个栏目未更新的，扣3分；</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2.监测时间点前6个月内，通知公告、政策文件类信息，每发现1个栏目未更新的，扣4分；</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3.监测时间点前1年内，人事、规划计划类信息，每发现1个栏目未更新的，扣5分；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4.机构设置及职能、动态、要闻、通知公告、政策文件、规划计划、人事等信息不准确的，每发现1次扣1分。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PrEx>
        <w:trPr>
          <w:trHeight w:val="786"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互动回应情况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政务咨询类栏目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1.渠道建设情况；</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2.栏目使用情况。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1.未开设栏目的，扣5分；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2.开设了栏目，但监测时间点前1年内栏目中无任何有效信件、留言的，扣5分。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819"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调查征集类栏目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1.渠道建设情况；</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2.调查征集活动开展情况。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1.未开设栏目的，扣5分；</w:t>
            </w:r>
          </w:p>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2.开设了栏目，但栏目不可用或监测时间点前1年内未开展调查征集活动的，扣5分；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3.开设了栏目且监测时间点前1年内开展了调查征集活动，但开展次数较少的（地方政府及国务院各部门门户网站少于6次，其他政府网站少于3次），扣3分。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093"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互动访谈类栏目</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互动访谈开展情况。</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1.开设了栏目，但栏目不可用或监测时间点前1年内未开展互动访谈活动的，扣5分；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2.开设了栏目且监测时间点前1年内开展了互动访谈活动，但开展次数较少的（地方政府及国务院各部门门户网站少于6次，其他政府网站少于3次），扣3分。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670" w:hRule="atLeast"/>
          <w:jc w:val="center"/>
        </w:trPr>
        <w:tc>
          <w:tcPr>
            <w:tcW w:w="1048" w:type="dxa"/>
            <w:vMerge w:val="restart"/>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服务实用情况</w:t>
            </w: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办事指南要素的完整性、准确性。</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1.办事指南要素类别缺失的（要素类别包括事项名称、设定依据、申请条件、办理材料、办理地点、办理时间、联系电话、办理流程等），每发现一类扣2分；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2.办事指南要素内容不准确的，每发现一项扣1分。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926"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附件下载</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所需的办事表格、文件附件等资料能否正常下载。</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1.办事指南中提及的表格和附件未提供下载的，每发现一次扣1分；</w:t>
            </w:r>
          </w:p>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2.办事表格、文件附件等无法下载的，每发现一次扣1分。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A0A0A" w:sz="6" w:space="0"/>
            <w:left w:val="single" w:color="0A0A0A" w:sz="6" w:space="0"/>
            <w:bottom w:val="single" w:color="0A0A0A" w:sz="6" w:space="0"/>
            <w:right w:val="single" w:color="0A0A0A" w:sz="6" w:space="0"/>
            <w:insideH w:val="none" w:color="auto" w:sz="0" w:space="0"/>
            <w:insideV w:val="none" w:color="auto" w:sz="0" w:space="0"/>
          </w:tblBorders>
          <w:tblCellMar>
            <w:top w:w="0" w:type="dxa"/>
            <w:left w:w="0" w:type="dxa"/>
            <w:bottom w:w="0" w:type="dxa"/>
            <w:right w:w="0" w:type="dxa"/>
          </w:tblCellMar>
        </w:tblPrEx>
        <w:trPr>
          <w:trHeight w:val="814" w:hRule="atLeast"/>
          <w:jc w:val="center"/>
        </w:trPr>
        <w:tc>
          <w:tcPr>
            <w:tcW w:w="1048" w:type="dxa"/>
            <w:vMerge w:val="continue"/>
            <w:tcBorders>
              <w:top w:val="outset" w:color="000000" w:sz="6" w:space="0"/>
              <w:left w:val="outset" w:color="000000" w:sz="6" w:space="0"/>
              <w:bottom w:val="outset" w:color="000000" w:sz="6" w:space="0"/>
              <w:right w:val="outset" w:color="000000" w:sz="6" w:space="0"/>
            </w:tcBorders>
            <w:shd w:val="clear" w:color="auto" w:fill="FFFFFF"/>
            <w:vAlign w:val="center"/>
          </w:tcPr>
          <w:p>
            <w:pPr>
              <w:rPr>
                <w:rFonts w:ascii="Calibri" w:hAnsi="Calibri" w:eastAsia="宋体"/>
                <w:color w:val="000000" w:themeColor="text1"/>
                <w:kern w:val="0"/>
                <w:szCs w:val="20"/>
                <w14:textFill>
                  <w14:solidFill>
                    <w14:schemeClr w14:val="tx1"/>
                  </w14:solidFill>
                </w14:textFill>
              </w:rPr>
            </w:pPr>
          </w:p>
        </w:tc>
        <w:tc>
          <w:tcPr>
            <w:tcW w:w="1195"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在线系统</w:t>
            </w:r>
          </w:p>
        </w:tc>
        <w:tc>
          <w:tcPr>
            <w:tcW w:w="2630"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在线申报和查询系统能否正常访问。</w:t>
            </w:r>
          </w:p>
        </w:tc>
        <w:tc>
          <w:tcPr>
            <w:tcW w:w="3648"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rPr>
                <w:rFonts w:ascii="Calibri" w:hAnsi="Calibri" w:eastAsia="宋体"/>
                <w:color w:val="000000" w:themeColor="text1"/>
                <w:kern w:val="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在线申报或查询系统不能访问的，每发现一个扣3分。</w:t>
            </w:r>
          </w:p>
        </w:tc>
        <w:tc>
          <w:tcPr>
            <w:tcW w:w="1159" w:type="dxa"/>
            <w:tcBorders>
              <w:top w:val="outset" w:color="000000" w:sz="6" w:space="0"/>
              <w:left w:val="outset" w:color="000000" w:sz="6" w:space="0"/>
              <w:bottom w:val="outset" w:color="000000" w:sz="6" w:space="0"/>
              <w:right w:val="outset" w:color="000000" w:sz="6" w:space="0"/>
            </w:tcBorders>
            <w:shd w:val="clear" w:color="auto" w:fill="FFFFFF"/>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spacing w:before="312" w:beforeLines="10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政府网站检查指标、监管工作年度考核指标及检查方式：</w:t>
      </w:r>
    </w:p>
    <w:p>
      <w:pPr>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（一）单项否决</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76"/>
        <w:gridCol w:w="1883"/>
        <w:gridCol w:w="5113"/>
        <w:gridCol w:w="13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7" w:hRule="atLeast"/>
          <w:tblHeader/>
          <w:jc w:val="center"/>
        </w:trPr>
        <w:tc>
          <w:tcPr>
            <w:tcW w:w="1376"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检查对象</w:t>
            </w: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指标</w:t>
            </w:r>
          </w:p>
        </w:tc>
        <w:tc>
          <w:tcPr>
            <w:tcW w:w="511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b/>
                <w:color w:val="000000" w:themeColor="text1"/>
                <w:sz w:val="20"/>
                <w:szCs w:val="20"/>
                <w:lang w:bidi="ar"/>
                <w14:textFill>
                  <w14:solidFill>
                    <w14:schemeClr w14:val="tx1"/>
                  </w14:solidFill>
                </w14:textFill>
              </w:rPr>
              <w:t>评分细则</w:t>
            </w:r>
          </w:p>
        </w:tc>
        <w:tc>
          <w:tcPr>
            <w:tcW w:w="1368" w:type="dxa"/>
          </w:tcPr>
          <w:p>
            <w:pPr>
              <w:spacing w:after="100" w:afterAutospacing="1" w:line="30" w:lineRule="atLeast"/>
              <w:jc w:val="center"/>
              <w:rPr>
                <w:rFonts w:ascii="Calibri" w:hAnsi="Calibri" w:eastAsia="宋体"/>
                <w:b/>
                <w:color w:val="000000" w:themeColor="text1"/>
                <w:sz w:val="20"/>
                <w:szCs w:val="20"/>
                <w:lang w:bidi="ar"/>
                <w14:textFill>
                  <w14:solidFill>
                    <w14:schemeClr w14:val="tx1"/>
                  </w14:solidFill>
                </w14:textFill>
              </w:rPr>
            </w:pPr>
            <w:r>
              <w:rPr>
                <w:rFonts w:hint="eastAsia" w:ascii="Calibri" w:hAnsi="Calibri" w:eastAsia="宋体"/>
                <w:b/>
                <w:color w:val="000000" w:themeColor="text1"/>
                <w:sz w:val="20"/>
                <w:szCs w:val="20"/>
                <w:lang w:bidi="ar"/>
                <w14:textFill>
                  <w14:solidFill>
                    <w14:schemeClr w14:val="tx1"/>
                  </w14:solidFill>
                </w14:textFill>
              </w:rPr>
              <w:t>检查方式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35" w:hRule="atLeast"/>
          <w:jc w:val="center"/>
        </w:trPr>
        <w:tc>
          <w:tcPr>
            <w:tcW w:w="1376" w:type="dxa"/>
            <w:vMerge w:val="restart"/>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政府网站</w:t>
            </w:r>
          </w:p>
        </w:tc>
        <w:tc>
          <w:tcPr>
            <w:tcW w:w="1883" w:type="dxa"/>
            <w:vAlign w:val="center"/>
          </w:tcPr>
          <w:p>
            <w:pPr>
              <w:spacing w:afterAutospacing="1" w:line="30" w:lineRule="atLeast"/>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安全、泄密事故等严重问题</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1.出现严重表述错误。</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2.泄露国家秘密。</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3.发布或链接反动、暴力、色情等内容。</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4.对安全攻击（如页面被挂马、内容被篡改等）没有及时有效处置造成严重安全事故。</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5.存在弄虚作假行为（如伪造发稿日期等）。</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6.因网站建设管理工作不当引发严重负面舆情。</w:t>
            </w:r>
          </w:p>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spacing w:line="420" w:lineRule="atLeast"/>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站点无法访问</w:t>
            </w:r>
          </w:p>
        </w:tc>
        <w:tc>
          <w:tcPr>
            <w:tcW w:w="5113" w:type="dxa"/>
            <w:vAlign w:val="center"/>
          </w:tcPr>
          <w:p>
            <w:pPr>
              <w:spacing w:afterAutospacing="1" w:line="30" w:lineRule="atLeast"/>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监测1周，每天间隔性访问20次以上，超过（含）15秒网站仍打不开的次数累计占比超过（含）5%，即单项否决。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工具扫描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首页不更新</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监测2周，首页无信息更新的，即单项否决。</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如首页仅为网站栏目导航入口，所有二级页面无信息更新的，即单项否决。</w:t>
            </w:r>
          </w:p>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（注：稿件发布页未注明发布时间的视为不更新，下同。）</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3"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栏目不更新</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1.监测时间点前2周内的动态、要闻类栏目，以及监测时间点前6个月内的通知公告、政策文件类一级栏目，累计超过（含）5个未更新。</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2.应更新但长期未更新的栏目数量超过（含）10个。</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3.空白栏目数量超过（含）5个。</w:t>
            </w:r>
          </w:p>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02"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互动回应差</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1.未提供网上有效咨询建言渠道（网上信访、纪检举报等专门渠道除外）。</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2.监测时间点前1年内，对网民留言应及时答复处理的政务咨询类栏目（在线访谈、调查征集、网上信访、纪检举报类栏目除外）存在超过3个月未回应有效留言的现象。</w:t>
            </w:r>
          </w:p>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57"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服务不实用</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1.未提供办事服务。</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2.办事指南重点要素类别（包括事项名称、设定依据、申请条件、办理材料、办理地点、办理机构、收费标准、办理时间、联系电话、办理流程）缺失4类及以上的事项数量超过（含）5个。</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3.事项总数不足5个的，每个事项办事指南重点要素类别（包括事项名称、设定依据、申请条件、办理材料、办理地点、办理机构、收费标准、办理时间、联系电话、办理流程）均缺失4类及以上。</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p>
            <w:pPr>
              <w:spacing w:afterAutospacing="1" w:line="30" w:lineRule="atLeast"/>
              <w:rPr>
                <w:rFonts w:ascii="Calibri" w:hAnsi="Calibri" w:eastAsia="宋体"/>
                <w:color w:val="000000" w:themeColor="text1"/>
                <w:sz w:val="20"/>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（注：对没有对外服务职能的部门，不检查其网站该项指标。）</w:t>
            </w:r>
          </w:p>
        </w:tc>
        <w:tc>
          <w:tcPr>
            <w:tcW w:w="1368" w:type="dxa"/>
            <w:vAlign w:val="center"/>
          </w:tcPr>
          <w:p>
            <w:pPr>
              <w:spacing w:after="100"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人工检查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73" w:hRule="atLeast"/>
          <w:jc w:val="center"/>
        </w:trPr>
        <w:tc>
          <w:tcPr>
            <w:tcW w:w="1376" w:type="dxa"/>
            <w:vMerge w:val="restart"/>
            <w:vAlign w:val="center"/>
          </w:tcPr>
          <w:p>
            <w:pPr>
              <w:spacing w:afterAutospacing="1" w:line="30" w:lineRule="atLeast"/>
              <w:jc w:val="center"/>
              <w:rPr>
                <w:rFonts w:ascii="Calibri" w:hAnsi="Calibri" w:eastAsia="宋体"/>
                <w:color w:val="000000" w:themeColor="text1"/>
                <w:szCs w:val="20"/>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政务新媒体</w:t>
            </w:r>
          </w:p>
        </w:tc>
        <w:tc>
          <w:tcPr>
            <w:tcW w:w="1883" w:type="dxa"/>
            <w:vAlign w:val="center"/>
          </w:tcPr>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安全、泄密事故等严重问题</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1.出现严重表述错误。</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2.泄露国家秘密。</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3.发布或链接反动、暴力、色情等内容。</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4.因发布内容不当引发严重负面舆情。</w:t>
            </w:r>
          </w:p>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内容不更新</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1.监测时间点前2周内无更新。</w:t>
            </w:r>
          </w:p>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2.移动客户端（APP）无法下载或使用，发生“僵尸</w:t>
            </w:r>
            <w:r>
              <w:rPr>
                <w:rFonts w:hint="eastAsia" w:ascii="Calibri" w:hAnsi="Calibri" w:eastAsia="宋体"/>
                <w:color w:val="000000" w:themeColor="text1"/>
                <w:sz w:val="20"/>
                <w:szCs w:val="20"/>
                <w:lang w:bidi="ar"/>
                <w14:textFill>
                  <w14:solidFill>
                    <w14:schemeClr w14:val="tx1"/>
                  </w14:solidFill>
                </w14:textFill>
              </w:rPr>
              <w:t>”、“</w:t>
            </w:r>
            <w:r>
              <w:rPr>
                <w:rFonts w:ascii="Calibri" w:hAnsi="Calibri" w:eastAsia="宋体"/>
                <w:color w:val="000000" w:themeColor="text1"/>
                <w:sz w:val="20"/>
                <w:szCs w:val="20"/>
                <w:lang w:bidi="ar"/>
                <w14:textFill>
                  <w14:solidFill>
                    <w14:schemeClr w14:val="tx1"/>
                  </w14:solidFill>
                </w14:textFill>
              </w:rPr>
              <w:t>睡眠”情况。</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1376" w:type="dxa"/>
            <w:vMerge w:val="continue"/>
            <w:vAlign w:val="center"/>
          </w:tcPr>
          <w:p>
            <w:pPr>
              <w:rPr>
                <w:rFonts w:ascii="Calibri" w:hAnsi="Calibri" w:eastAsia="宋体"/>
                <w:color w:val="000000" w:themeColor="text1"/>
                <w:szCs w:val="20"/>
                <w14:textFill>
                  <w14:solidFill>
                    <w14:schemeClr w14:val="tx1"/>
                  </w14:solidFill>
                </w14:textFill>
              </w:rPr>
            </w:pPr>
          </w:p>
        </w:tc>
        <w:tc>
          <w:tcPr>
            <w:tcW w:w="1883"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互动回应差</w:t>
            </w:r>
          </w:p>
        </w:tc>
        <w:tc>
          <w:tcPr>
            <w:tcW w:w="5113" w:type="dxa"/>
            <w:vAlign w:val="center"/>
          </w:tcPr>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1.未提供有效互动功能。</w:t>
            </w:r>
          </w:p>
          <w:p>
            <w:pPr>
              <w:spacing w:afterAutospacing="1" w:line="30" w:lineRule="atLeast"/>
              <w:rPr>
                <w:rFonts w:hint="eastAsia" w:ascii="Calibri" w:hAnsi="Calibri" w:eastAsia="宋体"/>
                <w:color w:val="000000" w:themeColor="text1"/>
                <w:sz w:val="20"/>
                <w:szCs w:val="20"/>
                <w:lang w:eastAsia="zh-CN"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2.存在购买“粉丝”、强制要求群众点赞等弄虚作假行为。</w:t>
            </w:r>
          </w:p>
          <w:p>
            <w:pPr>
              <w:spacing w:afterAutospacing="1" w:line="30" w:lineRule="atLeast"/>
              <w:rPr>
                <w:rFonts w:ascii="Calibri" w:hAnsi="Calibri" w:eastAsia="宋体"/>
                <w:color w:val="000000" w:themeColor="text1"/>
                <w:sz w:val="20"/>
                <w:szCs w:val="20"/>
                <w:lang w:bidi="ar"/>
                <w14:textFill>
                  <w14:solidFill>
                    <w14:schemeClr w14:val="tx1"/>
                  </w14:solidFill>
                </w14:textFill>
              </w:rPr>
            </w:pPr>
            <w:r>
              <w:rPr>
                <w:rFonts w:ascii="Calibri" w:hAnsi="Calibri" w:eastAsia="宋体"/>
                <w:color w:val="000000" w:themeColor="text1"/>
                <w:sz w:val="20"/>
                <w:szCs w:val="20"/>
                <w:lang w:bidi="ar"/>
                <w14:textFill>
                  <w14:solidFill>
                    <w14:schemeClr w14:val="tx1"/>
                  </w14:solidFill>
                </w14:textFill>
              </w:rPr>
              <w:t>上述情况出现任意一种，即单项否决。</w:t>
            </w:r>
          </w:p>
        </w:tc>
        <w:tc>
          <w:tcPr>
            <w:tcW w:w="1368" w:type="dxa"/>
            <w:vAlign w:val="center"/>
          </w:tcPr>
          <w:p>
            <w:pPr>
              <w:spacing w:afterAutospacing="1" w:line="30" w:lineRule="atLeast"/>
              <w:jc w:val="center"/>
              <w:rPr>
                <w:rFonts w:ascii="Calibri" w:hAnsi="Calibri" w:eastAsia="宋体"/>
                <w:color w:val="000000" w:themeColor="text1"/>
                <w:sz w:val="20"/>
                <w:szCs w:val="20"/>
                <w:lang w:bidi="ar"/>
                <w14:textFill>
                  <w14:solidFill>
                    <w14:schemeClr w14:val="tx1"/>
                  </w14:solidFill>
                </w14:textFill>
              </w:rPr>
            </w:pPr>
            <w:r>
              <w:rPr>
                <w:rFonts w:hint="eastAsia" w:ascii="Calibri" w:hAnsi="Calibri" w:eastAsia="宋体"/>
                <w:color w:val="000000" w:themeColor="text1"/>
                <w:sz w:val="20"/>
                <w:szCs w:val="20"/>
                <w:lang w:bidi="ar"/>
                <w14:textFill>
                  <w14:solidFill>
                    <w14:schemeClr w14:val="tx1"/>
                  </w14:solidFill>
                </w14:textFill>
              </w:rPr>
              <w:t>不含政务新媒体</w:t>
            </w:r>
          </w:p>
        </w:tc>
      </w:tr>
    </w:tbl>
    <w:p>
      <w:pPr>
        <w:spacing w:before="312" w:beforeLines="100"/>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（二）扣分指标（</w:t>
      </w:r>
      <w:r>
        <w:rPr>
          <w:rFonts w:ascii="宋体" w:hAnsi="宋体" w:eastAsia="宋体" w:cs="宋体"/>
          <w:b/>
          <w:color w:val="000000" w:themeColor="text1"/>
          <w:kern w:val="0"/>
          <w:sz w:val="28"/>
          <w:szCs w:val="28"/>
          <w14:textFill>
            <w14:solidFill>
              <w14:schemeClr w14:val="tx1"/>
            </w14:solidFill>
          </w14:textFill>
        </w:rPr>
        <w:t>100分）</w:t>
      </w:r>
    </w:p>
    <w:tbl>
      <w:tblPr>
        <w:tblStyle w:val="7"/>
        <w:tblW w:w="0" w:type="auto"/>
        <w:jc w:val="center"/>
        <w:tblLayout w:type="fixed"/>
        <w:tblCellMar>
          <w:top w:w="0" w:type="dxa"/>
          <w:left w:w="0" w:type="dxa"/>
          <w:bottom w:w="0" w:type="dxa"/>
          <w:right w:w="0" w:type="dxa"/>
        </w:tblCellMar>
      </w:tblPr>
      <w:tblGrid>
        <w:gridCol w:w="1291"/>
        <w:gridCol w:w="1736"/>
        <w:gridCol w:w="4625"/>
        <w:gridCol w:w="712"/>
        <w:gridCol w:w="1296"/>
      </w:tblGrid>
      <w:tr>
        <w:tblPrEx>
          <w:tblCellMar>
            <w:top w:w="0" w:type="dxa"/>
            <w:left w:w="0" w:type="dxa"/>
            <w:bottom w:w="0" w:type="dxa"/>
            <w:right w:w="0" w:type="dxa"/>
          </w:tblCellMar>
        </w:tblPrEx>
        <w:trPr>
          <w:trHeight w:val="322" w:hRule="atLeast"/>
          <w:tblHeader/>
          <w:jc w:val="center"/>
        </w:trPr>
        <w:tc>
          <w:tcPr>
            <w:tcW w:w="12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一级指标</w:t>
            </w:r>
          </w:p>
        </w:tc>
        <w:tc>
          <w:tcPr>
            <w:tcW w:w="173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二级指标</w:t>
            </w:r>
          </w:p>
        </w:tc>
        <w:tc>
          <w:tcPr>
            <w:tcW w:w="46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评分细则</w:t>
            </w:r>
          </w:p>
        </w:tc>
        <w:tc>
          <w:tcPr>
            <w:tcW w:w="71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分值</w:t>
            </w:r>
          </w:p>
        </w:tc>
        <w:tc>
          <w:tcPr>
            <w:tcW w:w="1296" w:type="dxa"/>
            <w:tcBorders>
              <w:top w:val="single" w:color="auto" w:sz="8" w:space="0"/>
              <w:left w:val="nil"/>
              <w:bottom w:val="single" w:color="auto" w:sz="8" w:space="0"/>
              <w:right w:val="single" w:color="auto" w:sz="8" w:space="0"/>
            </w:tcBorders>
          </w:tcPr>
          <w:p>
            <w:pPr>
              <w:jc w:val="center"/>
              <w:rPr>
                <w:rFonts w:ascii="Calibri" w:hAnsi="Calibri" w:eastAsia="宋体"/>
                <w:b/>
                <w:bCs/>
                <w:color w:val="000000" w:themeColor="text1"/>
                <w:kern w:val="0"/>
                <w:sz w:val="20"/>
                <w:szCs w:val="20"/>
                <w14:textFill>
                  <w14:solidFill>
                    <w14:schemeClr w14:val="tx1"/>
                  </w14:solidFill>
                </w14:textFill>
              </w:rPr>
            </w:pPr>
            <w:r>
              <w:rPr>
                <w:rFonts w:hint="eastAsia" w:ascii="Calibri" w:hAnsi="Calibri" w:eastAsia="宋体"/>
                <w:b/>
                <w:bCs/>
                <w:color w:val="000000" w:themeColor="text1"/>
                <w:kern w:val="0"/>
                <w:sz w:val="20"/>
                <w:szCs w:val="20"/>
                <w14:textFill>
                  <w14:solidFill>
                    <w14:schemeClr w14:val="tx1"/>
                  </w14:solidFill>
                </w14:textFill>
              </w:rPr>
              <w:t>检查方式</w:t>
            </w:r>
          </w:p>
        </w:tc>
      </w:tr>
      <w:tr>
        <w:tblPrEx>
          <w:tblCellMar>
            <w:top w:w="0" w:type="dxa"/>
            <w:left w:w="0" w:type="dxa"/>
            <w:bottom w:w="0" w:type="dxa"/>
            <w:right w:w="0" w:type="dxa"/>
          </w:tblCellMar>
        </w:tblPrEx>
        <w:trPr>
          <w:trHeight w:val="1298"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发布解读</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（31分）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概况信息</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1.未开设概况信息类栏目的，扣2分。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2.概况信息更新不及时或不准确的，每发现一处，扣1分。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（注：对国务院部门门户网站不检查该项指标。）</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机构职能</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1.未开设机构职能类栏目的，扣2分。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2.机构职能信息不准确的，每发现一处，扣1分。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（注：国务院部门门户网站未开设机构职能类栏目扣4分，信息不准确的，每发现一处扣1分，最多扣4分。）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领导信息</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1.未开设领导信息类栏目的，扣2分。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2.领导姓名、简历等信息缺失或不准确的，每发现一处，扣1分。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动态要闻</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1.未开设动态要闻类栏目的，扣5分。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2.监测时间点前2周内未更新的，扣5分。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政策文件</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1.未开设政策文件类栏目的，扣5分。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2.监测时间点前6个月内政策文件类一级栏目未更新的，扣5分。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政策解读</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1.未开设政策解读类栏目的，扣5分。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2.监测时间点前6个月内政策解读类一级栏目未更新的，扣5分。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解读比例</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随机抽查网站已发布的3个以本地区本部门或本地区本部门办公厅（室）名义印发的涉及面广、社会关注度高的政策文件，被解读的文件数量每少一个，扣1分。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（注：不足3个的则检查全部文件。）</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298"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解读关联</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随机抽查网站已发布的3个解读稿：未与被解读的政策文件相关联的，每发现一处，扣0.5分；该政策文件未与被抽查解读稿相关联的，每发现一处，扣0.5分。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（注：不足3个的则检查全部解读稿。）</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 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其他栏目</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1.其他栏目存在空白的，每发现一个，扣2分。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2.其他栏目存在应更新未更新的，每发现一个，扣1分。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（注：因空白、应更新未更新等原因已按其他指标扣分的，本指标项下不重复扣分。）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办事服务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（25分）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事项公开</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未对办事服务事项集中分类展示的，扣3分。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在线申请</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1.未提供在线注册功能或提供注册功能但用户（含异地用户）无法注册的，扣5分。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2.注册用户无法在线办事的，扣5分。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办事统计</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1.未公开办事统计数据的，扣2分。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2.监测时间点前1个月内未更新的，扣1分；3个月内未更新的，扣2分。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446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办事指南</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随机抽查5个办事服务事项：</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1.事项无办事指南的，每发现一个，扣4分；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2.提供办事指南，但重点要素类别（包括事项名称、设定依据、申请条件、办理材料、办理地点、办理机构、收费标准、办理时间、联系电话、办理流程）缺失的，每发现一处，扣0.5分；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3.办理材料格式要求不明确的（如未说明原件/复印件、纸质版/电子版、份数等），每发现一个存在该问题的事项，扣1分；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4.存在表述含糊不清的情形（如“根据有关法律法规规定应提交的其他材料”等表述），每发现一个存在该问题的事项，扣2分；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5.办事指南中提到的政策文件仅有名称、未说明具体内容的，每发现一个存在该问题的事项，扣0.5分。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（注：不足5个的则检查全部事项。）</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8</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内容准确</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随机抽查5个办事指南，信息（如咨询电话、投诉电话等）存在错误，或与实际办事要求不一致的，每发现一处，扣1分。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（注：不足5个的则检查全部指南。）</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表格样表</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随机抽查2个办事指南，要求办事人提供申请表、申请书等表单但未提供规范表格获取渠道的，每发现一个存在该问题的办事指南，扣1分。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互动交流</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（23分）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信息提交</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存在网民（含异地用户）无法使用网站互动交流功能提交信息问题的，扣7分。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统一登录</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网站各个具有互动交流功能的栏目（网上信访、纪检举报等专门渠道除外）提供的注册登录功能，未实现统一注册登录的，扣3分。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2417"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留言公开</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1.咨询建言类栏目（网上信访、纪检举报等专门渠道除外）对所有网民留言都未公开的，扣6分。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2.随机抽查5条已公开的网民留言，未公开留言时间、答复时间、答复单位、答复内容的，每发现一处，扣1分。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3.监测时间点前2个月内未更新的，扣3分。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4.未公开留言受理反馈情况统计数据的，扣3分。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（注：不足5条的则检查全部留言。）</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379"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办理答复</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模拟用户进行2次简单常见问题咨询：</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1.未在5个工作日内收到网上答复意见的，每发现一次，扣4分；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2.答复内容质量不高，有推诿、敷衍等现象的，每发现一次，扣4分。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298" w:hRule="atLeast"/>
          <w:jc w:val="center"/>
        </w:trPr>
        <w:tc>
          <w:tcPr>
            <w:tcW w:w="129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功能设计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（21分）</w:t>
            </w: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域名名称</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1.域名不符合规范的，扣1分。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2.网站未以本地区本部门名称命名的，扣1分。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3.网站名称未在全站页面头部区域显著展示的，扣1分。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网站标识</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未在全站页面底部功能区清晰列明党政机关网站标识、网站标识码、ICP备案编号、公安机关备案标识、网站主办单位、联系方式的，每缺一项，扣0.5分。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78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可用性</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1.首页上的链接（包括图片、附件、外部链接等）打不开或错误的，每发现一处，扣0.2分；如首页仅为网站栏目导航入口，则检查所有二级页面上的链接。</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2.其他页面上的链接（包括图片、附件、外部链接等）打不开或错误的，每发现一处，扣0.1分。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r>
        <w:tblPrEx>
          <w:tblCellMar>
            <w:top w:w="0" w:type="dxa"/>
            <w:left w:w="0" w:type="dxa"/>
            <w:bottom w:w="0" w:type="dxa"/>
            <w:right w:w="0" w:type="dxa"/>
          </w:tblCellMar>
        </w:tblPrEx>
        <w:trPr>
          <w:trHeight w:val="1298"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“我为政府网</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站找错”</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1.未在首页底部功能区规范添加“我为政府网站找错”入口的，扣1分。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2.未在其他页面底部功能区规范添加“我为政府网站找错”入口的，每发现一处，扣0.2分。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541"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vMerge w:val="continue"/>
            <w:tcBorders>
              <w:top w:val="nil"/>
              <w:left w:val="nil"/>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1.监测时间点前6个月内，存在网民留言超过3个工作日未答复的，每发现一条，扣1分。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2.监测时间点前6个月内，存在答复内容质量不高，有推诿、敷衍等现象的，每发现一条，扣1分。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203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站内搜索</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1.未提供全站站内搜索功能或功能不可用的，扣4分。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2.随机选取4条网站已发布的信息或服务的标题进行测试，在搜索结果第一页无法找到该内容的，每条扣1分。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3.未对搜索结果进行分类展现的（如按照政策文件、办事指南等进行分类），扣1分。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810"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一号登录</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注册用户在各个功能板块（网上信访、纪检举报等专门渠道除外）无法一号登录的，扣2分。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054"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页面标签</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1.随机抽查5个内容页面，无站点标签或内容标签的，每个扣0.1分。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2.随机抽查5个栏目页面，无站点标签或栏目标签的，每个扣0.1分。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66"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兼容性</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使用主流浏览器访问网站，不能正常显示页面内容的，每类扣1分。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397" w:hRule="atLeast"/>
          <w:jc w:val="center"/>
        </w:trPr>
        <w:tc>
          <w:tcPr>
            <w:tcW w:w="129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3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IPv6改造</w:t>
            </w:r>
          </w:p>
        </w:tc>
        <w:tc>
          <w:tcPr>
            <w:tcW w:w="4625"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未按照要求完成IPv6改造的，扣1分。</w:t>
            </w:r>
          </w:p>
        </w:tc>
        <w:tc>
          <w:tcPr>
            <w:tcW w:w="71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w:t>
            </w:r>
          </w:p>
        </w:tc>
        <w:tc>
          <w:tcPr>
            <w:tcW w:w="1296"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tc>
      </w:tr>
    </w:tbl>
    <w:p>
      <w:pPr>
        <w:spacing w:before="312" w:beforeLines="100"/>
        <w:ind w:firstLine="562" w:firstLineChars="200"/>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（三）加分指标（</w:t>
      </w:r>
      <w:r>
        <w:rPr>
          <w:rFonts w:ascii="宋体" w:hAnsi="宋体" w:eastAsia="宋体" w:cs="宋体"/>
          <w:b/>
          <w:color w:val="000000" w:themeColor="text1"/>
          <w:kern w:val="0"/>
          <w:sz w:val="28"/>
          <w:szCs w:val="28"/>
          <w14:textFill>
            <w14:solidFill>
              <w14:schemeClr w14:val="tx1"/>
            </w14:solidFill>
          </w14:textFill>
        </w:rPr>
        <w:t>30分）</w:t>
      </w:r>
    </w:p>
    <w:tbl>
      <w:tblPr>
        <w:tblStyle w:val="7"/>
        <w:tblW w:w="9600" w:type="dxa"/>
        <w:jc w:val="center"/>
        <w:tblLayout w:type="fixed"/>
        <w:tblCellMar>
          <w:top w:w="0" w:type="dxa"/>
          <w:left w:w="0" w:type="dxa"/>
          <w:bottom w:w="0" w:type="dxa"/>
          <w:right w:w="0" w:type="dxa"/>
        </w:tblCellMar>
      </w:tblPr>
      <w:tblGrid>
        <w:gridCol w:w="1301"/>
        <w:gridCol w:w="1752"/>
        <w:gridCol w:w="4422"/>
        <w:gridCol w:w="826"/>
        <w:gridCol w:w="1299"/>
      </w:tblGrid>
      <w:tr>
        <w:tblPrEx>
          <w:tblCellMar>
            <w:top w:w="0" w:type="dxa"/>
            <w:left w:w="0" w:type="dxa"/>
            <w:bottom w:w="0" w:type="dxa"/>
            <w:right w:w="0" w:type="dxa"/>
          </w:tblCellMar>
        </w:tblPrEx>
        <w:trPr>
          <w:trHeight w:val="272" w:hRule="atLeast"/>
          <w:tblHeader/>
          <w:jc w:val="center"/>
        </w:trPr>
        <w:tc>
          <w:tcPr>
            <w:tcW w:w="130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一级指标</w:t>
            </w:r>
          </w:p>
        </w:tc>
        <w:tc>
          <w:tcPr>
            <w:tcW w:w="175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二级指标</w:t>
            </w:r>
          </w:p>
        </w:tc>
        <w:tc>
          <w:tcPr>
            <w:tcW w:w="44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评分细则</w:t>
            </w:r>
          </w:p>
        </w:tc>
        <w:tc>
          <w:tcPr>
            <w:tcW w:w="82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b/>
                <w:bCs/>
                <w:color w:val="000000" w:themeColor="text1"/>
                <w:kern w:val="0"/>
                <w:sz w:val="20"/>
                <w:szCs w:val="20"/>
                <w14:textFill>
                  <w14:solidFill>
                    <w14:schemeClr w14:val="tx1"/>
                  </w14:solidFill>
                </w14:textFill>
              </w:rPr>
              <w:t>分值</w:t>
            </w:r>
          </w:p>
        </w:tc>
        <w:tc>
          <w:tcPr>
            <w:tcW w:w="1299" w:type="dxa"/>
            <w:tcBorders>
              <w:top w:val="single" w:color="auto" w:sz="8" w:space="0"/>
              <w:left w:val="nil"/>
              <w:bottom w:val="single" w:color="auto" w:sz="8" w:space="0"/>
              <w:right w:val="single" w:color="auto" w:sz="8" w:space="0"/>
            </w:tcBorders>
          </w:tcPr>
          <w:p>
            <w:pPr>
              <w:jc w:val="center"/>
              <w:rPr>
                <w:rFonts w:ascii="Calibri" w:hAnsi="Calibri" w:eastAsia="宋体"/>
                <w:b/>
                <w:bCs/>
                <w:color w:val="000000" w:themeColor="text1"/>
                <w:kern w:val="0"/>
                <w:sz w:val="20"/>
                <w:szCs w:val="20"/>
                <w14:textFill>
                  <w14:solidFill>
                    <w14:schemeClr w14:val="tx1"/>
                  </w14:solidFill>
                </w14:textFill>
              </w:rPr>
            </w:pPr>
            <w:r>
              <w:rPr>
                <w:rFonts w:hint="eastAsia" w:ascii="Calibri" w:hAnsi="Calibri" w:eastAsia="宋体"/>
                <w:b/>
                <w:bCs/>
                <w:color w:val="000000" w:themeColor="text1"/>
                <w:kern w:val="0"/>
                <w:sz w:val="20"/>
                <w:szCs w:val="20"/>
                <w14:textFill>
                  <w14:solidFill>
                    <w14:schemeClr w14:val="tx1"/>
                  </w14:solidFill>
                </w14:textFill>
              </w:rPr>
              <w:t>检查方式</w:t>
            </w:r>
          </w:p>
        </w:tc>
      </w:tr>
      <w:tr>
        <w:tblPrEx>
          <w:tblCellMar>
            <w:top w:w="0" w:type="dxa"/>
            <w:left w:w="0" w:type="dxa"/>
            <w:bottom w:w="0" w:type="dxa"/>
            <w:right w:w="0" w:type="dxa"/>
          </w:tblCellMar>
        </w:tblPrEx>
        <w:trPr>
          <w:trHeight w:val="191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信息发布</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（7分）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数据发布</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1.开设数据发布类栏目并在监测时间点前3个月内有更新的，得2分；监测时间点前3—6个月内有更新的，得1分。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2.监测时间点前6个月内，通过图表图解等可视化方式展现和解读数据的，得1分。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3.定期更新数据集，并提供下载功能或可用数据接口的，得1分。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解读回应</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随机抽查3个不同文件的解读稿，通过新闻发布会、图表图解、音视频或动漫等形式解读的，每个得1分。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0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办事服务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服务功能</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1.提供服务评价功能的，得1分。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2.公布服务评价结果的，得1分。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98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服务内容</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针对重点服务事项，整合相关资源，细化办理对象、条件、流程等，提供专题或集成服务。提供3项及以上的，得2分；提供1至2项的，得1分。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服务关联</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随机抽查2个办事服务事项，涉及到的政策文件依据均准确关联至本网站政策文件库的，得2分。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983"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互动交流</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（8分）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实时互动</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模拟用户进行1次简单常见问题咨询：咨询后一个工作日内答复且内容准确的，得3分；提供实时智能答问功能且内容准确的，得2分。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5</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447"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调查征集</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1.提供在线调查征集渠道（不含电子邮件形式），且监测时间点前1年内开展活动超过（含）6次的，得2分。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2.监测时间点前1年内开展的调查征集活动结束后1个月内均公开反馈结果的，得1分。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1917" w:hRule="atLeast"/>
          <w:jc w:val="center"/>
        </w:trPr>
        <w:tc>
          <w:tcPr>
            <w:tcW w:w="130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功能设计</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（6分）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智能搜索</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1.提供关键词模糊搜索功能的，得1分。</w:t>
            </w:r>
          </w:p>
          <w:p>
            <w:pPr>
              <w:rPr>
                <w:rFonts w:hint="eastAsia" w:ascii="Calibri" w:hAnsi="Calibri" w:eastAsia="宋体"/>
                <w:color w:val="000000" w:themeColor="text1"/>
                <w:kern w:val="0"/>
                <w:sz w:val="20"/>
                <w:szCs w:val="20"/>
                <w:lang w:eastAsia="zh-CN"/>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2.根据搜索关键词聚合相关信息和服务功能，实现“搜索即服务”的，得1分。</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3.随机选取该地区、该部门下级网站上的2条信息或服务的标题：通过该地区、该部门政府门户网站搜索进行测试，能够在搜索结果第一页找到该内容的，每条得1分。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4</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743" w:hRule="atLeast"/>
          <w:jc w:val="center"/>
        </w:trPr>
        <w:tc>
          <w:tcPr>
            <w:tcW w:w="1301" w:type="dxa"/>
            <w:vMerge w:val="continue"/>
            <w:tcBorders>
              <w:top w:val="nil"/>
              <w:left w:val="single" w:color="auto" w:sz="8" w:space="0"/>
              <w:bottom w:val="single" w:color="auto" w:sz="8" w:space="0"/>
              <w:right w:val="single" w:color="auto" w:sz="8" w:space="0"/>
            </w:tcBorders>
            <w:vAlign w:val="center"/>
          </w:tcPr>
          <w:p>
            <w:pPr>
              <w:rPr>
                <w:rFonts w:ascii="Calibri" w:hAnsi="Calibri" w:eastAsia="宋体"/>
                <w:color w:val="000000" w:themeColor="text1"/>
                <w:kern w:val="0"/>
                <w:szCs w:val="24"/>
                <w14:textFill>
                  <w14:solidFill>
                    <w14:schemeClr w14:val="tx1"/>
                  </w14:solidFill>
                </w14:textFill>
              </w:rPr>
            </w:pP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用户空间</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注册用户可在用户主页下浏览其在本网站咨询问题、办事服务等历史信息的，得2分。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CellMar>
            <w:top w:w="0" w:type="dxa"/>
            <w:left w:w="0" w:type="dxa"/>
            <w:bottom w:w="0" w:type="dxa"/>
            <w:right w:w="0" w:type="dxa"/>
          </w:tblCellMar>
        </w:tblPrEx>
        <w:trPr>
          <w:trHeight w:val="544" w:hRule="atLeast"/>
          <w:jc w:val="center"/>
        </w:trPr>
        <w:tc>
          <w:tcPr>
            <w:tcW w:w="130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创新发展</w:t>
            </w:r>
          </w:p>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（3分）</w:t>
            </w:r>
          </w:p>
        </w:tc>
        <w:tc>
          <w:tcPr>
            <w:tcW w:w="1752"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w:t>
            </w:r>
          </w:p>
        </w:tc>
        <w:tc>
          <w:tcPr>
            <w:tcW w:w="4422" w:type="dxa"/>
            <w:tcBorders>
              <w:top w:val="nil"/>
              <w:left w:val="nil"/>
              <w:bottom w:val="single" w:color="auto" w:sz="8" w:space="0"/>
              <w:right w:val="single" w:color="auto" w:sz="8" w:space="0"/>
            </w:tcBorders>
            <w:tcMar>
              <w:top w:w="0" w:type="dxa"/>
              <w:left w:w="108" w:type="dxa"/>
              <w:bottom w:w="0" w:type="dxa"/>
              <w:right w:w="108" w:type="dxa"/>
            </w:tcMar>
            <w:vAlign w:val="center"/>
          </w:tcPr>
          <w:p>
            <w:pP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通过政府网站服务中心工作、方便社会公众的做法突出，并获得本地区、本部门主要领导同志肯定的，加3分。</w:t>
            </w:r>
          </w:p>
        </w:tc>
        <w:tc>
          <w:tcPr>
            <w:tcW w:w="826" w:type="dxa"/>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ascii="Calibri" w:hAnsi="Calibri" w:eastAsia="宋体"/>
                <w:color w:val="000000" w:themeColor="text1"/>
                <w:kern w:val="0"/>
                <w:szCs w:val="24"/>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3</w:t>
            </w:r>
          </w:p>
        </w:tc>
        <w:tc>
          <w:tcPr>
            <w:tcW w:w="1299" w:type="dxa"/>
            <w:tcBorders>
              <w:top w:val="nil"/>
              <w:left w:val="nil"/>
              <w:bottom w:val="single" w:color="auto" w:sz="8" w:space="0"/>
              <w:right w:val="single" w:color="auto" w:sz="8"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spacing w:before="312" w:beforeLines="100"/>
        <w:ind w:firstLine="562" w:firstLineChars="200"/>
        <w:outlineLvl w:val="3"/>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个性化监测指标及检查方式</w:t>
      </w:r>
    </w:p>
    <w:tbl>
      <w:tblPr>
        <w:tblStyle w:val="7"/>
        <w:tblW w:w="870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271"/>
        <w:gridCol w:w="5227"/>
        <w:gridCol w:w="120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 w:hRule="atLeast"/>
          <w:jc w:val="center"/>
        </w:trPr>
        <w:tc>
          <w:tcPr>
            <w:tcW w:w="2271" w:type="dxa"/>
            <w:vAlign w:val="center"/>
          </w:tcPr>
          <w:p>
            <w:pPr>
              <w:jc w:val="center"/>
              <w:rPr>
                <w:rFonts w:ascii="Times New Roman" w:hAnsi="Times New Roman" w:eastAsia="宋体"/>
                <w:b/>
                <w:color w:val="000000" w:themeColor="text1"/>
                <w:sz w:val="22"/>
                <w14:textFill>
                  <w14:solidFill>
                    <w14:schemeClr w14:val="tx1"/>
                  </w14:solidFill>
                </w14:textFill>
              </w:rPr>
            </w:pPr>
            <w:r>
              <w:rPr>
                <w:rFonts w:ascii="Times New Roman" w:hAnsi="Times New Roman" w:eastAsia="宋体"/>
                <w:b/>
                <w:color w:val="000000" w:themeColor="text1"/>
                <w:sz w:val="22"/>
                <w14:textFill>
                  <w14:solidFill>
                    <w14:schemeClr w14:val="tx1"/>
                  </w14:solidFill>
                </w14:textFill>
              </w:rPr>
              <w:t>监测指标</w:t>
            </w:r>
          </w:p>
        </w:tc>
        <w:tc>
          <w:tcPr>
            <w:tcW w:w="5227" w:type="dxa"/>
            <w:vAlign w:val="center"/>
          </w:tcPr>
          <w:p>
            <w:pPr>
              <w:jc w:val="center"/>
              <w:rPr>
                <w:rFonts w:ascii="Times New Roman" w:hAnsi="Times New Roman" w:eastAsia="宋体"/>
                <w:b/>
                <w:color w:val="000000" w:themeColor="text1"/>
                <w:sz w:val="22"/>
                <w14:textFill>
                  <w14:solidFill>
                    <w14:schemeClr w14:val="tx1"/>
                  </w14:solidFill>
                </w14:textFill>
              </w:rPr>
            </w:pPr>
            <w:r>
              <w:rPr>
                <w:rFonts w:ascii="Times New Roman" w:hAnsi="Times New Roman" w:eastAsia="宋体"/>
                <w:b/>
                <w:color w:val="000000" w:themeColor="text1"/>
                <w:sz w:val="22"/>
                <w14:textFill>
                  <w14:solidFill>
                    <w14:schemeClr w14:val="tx1"/>
                  </w14:solidFill>
                </w14:textFill>
              </w:rPr>
              <w:t>内容描述</w:t>
            </w:r>
          </w:p>
        </w:tc>
        <w:tc>
          <w:tcPr>
            <w:tcW w:w="1202" w:type="dxa"/>
          </w:tcPr>
          <w:p>
            <w:pPr>
              <w:jc w:val="center"/>
              <w:rPr>
                <w:rFonts w:ascii="Times New Roman" w:hAnsi="Times New Roman" w:eastAsia="宋体"/>
                <w:b/>
                <w:color w:val="000000" w:themeColor="text1"/>
                <w:sz w:val="22"/>
                <w14:textFill>
                  <w14:solidFill>
                    <w14:schemeClr w14:val="tx1"/>
                  </w14:solidFill>
                </w14:textFill>
              </w:rPr>
            </w:pPr>
            <w:r>
              <w:rPr>
                <w:rFonts w:hint="eastAsia" w:ascii="Times New Roman" w:hAnsi="Times New Roman" w:eastAsia="宋体"/>
                <w:b/>
                <w:color w:val="000000" w:themeColor="text1"/>
                <w:sz w:val="22"/>
                <w14:textFill>
                  <w14:solidFill>
                    <w14:schemeClr w14:val="tx1"/>
                  </w14:solidFill>
                </w14:textFill>
              </w:rPr>
              <w:t>检查方式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75"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网站名称不规范</w:t>
            </w:r>
          </w:p>
        </w:tc>
        <w:tc>
          <w:tcPr>
            <w:tcW w:w="5227"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1、党政机关标识中的网站名称或域名信息错误</w:t>
            </w:r>
          </w:p>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2、“我为政府网站找错”的网站名称或域名信息错误</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域名管理不规范</w:t>
            </w:r>
          </w:p>
        </w:tc>
        <w:tc>
          <w:tcPr>
            <w:tcW w:w="5227"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1、网站的办事平台、专题网站或业务子站的域名未规范管理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浏览器兼容性</w:t>
            </w:r>
          </w:p>
        </w:tc>
        <w:tc>
          <w:tcPr>
            <w:tcW w:w="5227" w:type="dxa"/>
          </w:tcPr>
          <w:p>
            <w:pPr>
              <w:numPr>
                <w:ilvl w:val="0"/>
                <w:numId w:val="2"/>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对主流类别及常用版本浏览器（如IE、Chrome、360等）兼容性不佳，导致存在页面变形、图片不显示、视频无法播放、文字错行、表格错位、乱码信息、功能和控件不可用等情况</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网页标签管理</w:t>
            </w:r>
          </w:p>
        </w:tc>
        <w:tc>
          <w:tcPr>
            <w:tcW w:w="5227" w:type="dxa"/>
          </w:tcPr>
          <w:p>
            <w:pPr>
              <w:numPr>
                <w:ilvl w:val="0"/>
                <w:numId w:val="3"/>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未按照“政府网站发展指引”中网页标签管理规范，对网站标签、栏目标签、内容页标签等进行规范管理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首页可用性</w:t>
            </w:r>
          </w:p>
        </w:tc>
        <w:tc>
          <w:tcPr>
            <w:tcW w:w="5227" w:type="dxa"/>
          </w:tcPr>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能访问首页，但页面加载过慢（超过3秒）</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首页信息无法正常显示，出现时间显示错误、图片不显示、视频无法播放、文字错行、表格错位、乱码信息等情况</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首页提供的功能和控件不可用</w:t>
            </w:r>
          </w:p>
          <w:p>
            <w:pPr>
              <w:numPr>
                <w:ilvl w:val="0"/>
                <w:numId w:val="4"/>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首页存在无法关闭的悬浮框</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栏目页管理</w:t>
            </w:r>
          </w:p>
        </w:tc>
        <w:tc>
          <w:tcPr>
            <w:tcW w:w="5227" w:type="dxa"/>
          </w:tcPr>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栏目页未优先展现最新更新的信息内容</w:t>
            </w:r>
          </w:p>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出现暂不能正常保障的空白栏目，如栏目显示“正在建设中”、“正在改版中”、“正在升级中”、仅有测试信息或没有任何信息等情况</w:t>
            </w:r>
          </w:p>
          <w:p>
            <w:pPr>
              <w:numPr>
                <w:ilvl w:val="0"/>
                <w:numId w:val="5"/>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未彻底删除应关停不再显示的栏目，如链接到旧版网站或不再更新的历史栏目等情况</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656" w:hRule="atLeast"/>
          <w:jc w:val="center"/>
        </w:trPr>
        <w:tc>
          <w:tcPr>
            <w:tcW w:w="2271" w:type="dxa"/>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页面信息显示</w:t>
            </w:r>
          </w:p>
        </w:tc>
        <w:tc>
          <w:tcPr>
            <w:tcW w:w="5227" w:type="dxa"/>
          </w:tcPr>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除首页外，在网站频道页、栏目页、专题页、文章页出现的信息无法正常显示的情况，如时间显示错误、图片不显示、文字错行、表格错位、乱码信息等</w:t>
            </w:r>
          </w:p>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页面提示信息不准确、不友好</w:t>
            </w:r>
          </w:p>
          <w:p>
            <w:pPr>
              <w:numPr>
                <w:ilvl w:val="0"/>
                <w:numId w:val="6"/>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政府网站各页面的头部标识区和底部功能区未与首页保持一致（建设方明确要求不一致的页面除外）</w:t>
            </w:r>
          </w:p>
        </w:tc>
        <w:tc>
          <w:tcPr>
            <w:tcW w:w="1202" w:type="dxa"/>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2271" w:type="dxa"/>
            <w:tcBorders>
              <w:top w:val="single" w:color="000000" w:sz="4" w:space="0"/>
              <w:left w:val="single" w:color="000000" w:sz="12" w:space="0"/>
              <w:bottom w:val="single" w:color="000000" w:sz="4" w:space="0"/>
              <w:right w:val="single" w:color="000000" w:sz="4" w:space="0"/>
            </w:tcBorders>
            <w:vAlign w:val="center"/>
          </w:tcPr>
          <w:p>
            <w:p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网站链接管理</w:t>
            </w:r>
          </w:p>
        </w:tc>
        <w:tc>
          <w:tcPr>
            <w:tcW w:w="5227" w:type="dxa"/>
            <w:tcBorders>
              <w:top w:val="single" w:color="000000" w:sz="4" w:space="0"/>
              <w:left w:val="single" w:color="000000" w:sz="4" w:space="0"/>
              <w:bottom w:val="single" w:color="000000" w:sz="4" w:space="0"/>
              <w:right w:val="single" w:color="000000" w:sz="4" w:space="0"/>
            </w:tcBorders>
          </w:tcPr>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在网站迁移改版或栏目功能调整的过程中，出现大量因技术问题或管理不当导致的链接不可用的情况</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发布了未经审核通过的外部链接</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外部链接未在页面上显示，导致存在“暗链”，造成安全隐患</w:t>
            </w:r>
          </w:p>
          <w:p>
            <w:pPr>
              <w:numPr>
                <w:ilvl w:val="0"/>
                <w:numId w:val="7"/>
              </w:numPr>
              <w:rPr>
                <w:rFonts w:ascii="Calibri" w:hAnsi="Calibri" w:eastAsia="宋体"/>
                <w:color w:val="000000" w:themeColor="text1"/>
                <w:kern w:val="0"/>
                <w:sz w:val="20"/>
                <w:szCs w:val="20"/>
                <w14:textFill>
                  <w14:solidFill>
                    <w14:schemeClr w14:val="tx1"/>
                  </w14:solidFill>
                </w14:textFill>
              </w:rPr>
            </w:pPr>
            <w:r>
              <w:rPr>
                <w:rFonts w:ascii="Calibri" w:hAnsi="Calibri" w:eastAsia="宋体"/>
                <w:color w:val="000000" w:themeColor="text1"/>
                <w:kern w:val="0"/>
                <w:sz w:val="20"/>
                <w:szCs w:val="20"/>
                <w14:textFill>
                  <w14:solidFill>
                    <w14:schemeClr w14:val="tx1"/>
                  </w14:solidFill>
                </w14:textFill>
              </w:rPr>
              <w:t>打开非政府网站链接时，未有跳转提示信息</w:t>
            </w:r>
          </w:p>
        </w:tc>
        <w:tc>
          <w:tcPr>
            <w:tcW w:w="1202" w:type="dxa"/>
            <w:tcBorders>
              <w:top w:val="single" w:color="000000" w:sz="4" w:space="0"/>
              <w:left w:val="single" w:color="000000" w:sz="4" w:space="0"/>
              <w:bottom w:val="single" w:color="000000" w:sz="4" w:space="0"/>
              <w:right w:val="single" w:color="000000" w:sz="12" w:space="0"/>
            </w:tcBorders>
            <w:vAlign w:val="center"/>
          </w:tcPr>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工具扫描</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w:t>
            </w:r>
          </w:p>
          <w:p>
            <w:pPr>
              <w:jc w:val="center"/>
              <w:rPr>
                <w:rFonts w:ascii="Calibri" w:hAnsi="Calibri" w:eastAsia="宋体"/>
                <w:color w:val="000000" w:themeColor="text1"/>
                <w:kern w:val="0"/>
                <w:sz w:val="20"/>
                <w:szCs w:val="20"/>
                <w14:textFill>
                  <w14:solidFill>
                    <w14:schemeClr w14:val="tx1"/>
                  </w14:solidFill>
                </w14:textFill>
              </w:rPr>
            </w:pPr>
            <w:r>
              <w:rPr>
                <w:rFonts w:hint="eastAsia" w:ascii="Calibri" w:hAnsi="Calibri" w:eastAsia="宋体"/>
                <w:color w:val="000000" w:themeColor="text1"/>
                <w:kern w:val="0"/>
                <w:sz w:val="20"/>
                <w:szCs w:val="20"/>
                <w14:textFill>
                  <w14:solidFill>
                    <w14:schemeClr w14:val="tx1"/>
                  </w14:solidFill>
                </w14:textFill>
              </w:rPr>
              <w:t>人工检查</w:t>
            </w:r>
          </w:p>
        </w:tc>
      </w:tr>
    </w:tbl>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3</w:t>
      </w:r>
      <w:r>
        <w:rPr>
          <w:rFonts w:hint="eastAsia" w:ascii="宋体" w:hAnsi="宋体" w:eastAsia="宋体" w:cs="宋体"/>
          <w:color w:val="000000" w:themeColor="text1"/>
          <w:kern w:val="0"/>
          <w:sz w:val="28"/>
          <w:szCs w:val="28"/>
          <w14:textFill>
            <w14:solidFill>
              <w14:schemeClr w14:val="tx1"/>
            </w14:solidFill>
          </w14:textFill>
        </w:rPr>
        <w:t>）整改咨询</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各单位整改网站问题过程中，需提供电话、QQ、微信、邮件等不同形式的咨询服务，便于单位进行网站的有效整改，</w:t>
      </w:r>
      <w:r>
        <w:rPr>
          <w:rFonts w:hint="eastAsia" w:ascii="宋体" w:hAnsi="宋体" w:eastAsia="宋体" w:cs="宋体"/>
          <w:b/>
          <w:bCs/>
          <w:color w:val="000000" w:themeColor="text1"/>
          <w:kern w:val="0"/>
          <w:sz w:val="28"/>
          <w:szCs w:val="28"/>
          <w14:textFill>
            <w14:solidFill>
              <w14:schemeClr w14:val="tx1"/>
            </w14:solidFill>
          </w14:textFill>
        </w:rPr>
        <w:t>每季度报告整改期间，需安排专人驻场</w:t>
      </w:r>
      <w:r>
        <w:rPr>
          <w:rFonts w:hint="eastAsia" w:ascii="宋体" w:hAnsi="宋体" w:eastAsia="宋体" w:cs="宋体"/>
          <w:color w:val="000000" w:themeColor="text1"/>
          <w:kern w:val="0"/>
          <w:sz w:val="28"/>
          <w:szCs w:val="28"/>
          <w14:textFill>
            <w14:solidFill>
              <w14:schemeClr w14:val="tx1"/>
            </w14:solidFill>
          </w14:textFill>
        </w:rPr>
        <w:t>，负责对各单位的整改报告进行核查；对未完全整改完毕的问题进行整理，分发给相关单位并指导整改到位；针对重点问题与各部门沟通交流，确保问题整改闭环，从而进一步提升我市政府网站内容保障质量。</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4</w:t>
      </w:r>
      <w:r>
        <w:rPr>
          <w:rFonts w:hint="eastAsia" w:ascii="宋体" w:hAnsi="宋体" w:eastAsia="宋体" w:cs="宋体"/>
          <w:color w:val="000000" w:themeColor="text1"/>
          <w:kern w:val="0"/>
          <w:sz w:val="28"/>
          <w:szCs w:val="28"/>
          <w14:textFill>
            <w14:solidFill>
              <w14:schemeClr w14:val="tx1"/>
            </w14:solidFill>
          </w14:textFill>
        </w:rPr>
        <w:t>）解读培训</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ascii="宋体" w:hAnsi="宋体" w:eastAsia="宋体" w:cs="宋体"/>
          <w:color w:val="000000" w:themeColor="text1"/>
          <w:kern w:val="0"/>
          <w:sz w:val="28"/>
          <w:szCs w:val="28"/>
          <w14:textFill>
            <w14:solidFill>
              <w14:schemeClr w14:val="tx1"/>
            </w14:solidFill>
          </w14:textFill>
        </w:rPr>
        <w:t>采购</w:t>
      </w:r>
      <w:r>
        <w:rPr>
          <w:rFonts w:hint="eastAsia" w:ascii="宋体" w:hAnsi="宋体" w:eastAsia="宋体" w:cs="宋体"/>
          <w:color w:val="000000" w:themeColor="text1"/>
          <w:kern w:val="0"/>
          <w:sz w:val="28"/>
          <w:szCs w:val="28"/>
          <w:lang w:val="en-US" w:eastAsia="zh-CN"/>
          <w14:textFill>
            <w14:solidFill>
              <w14:schemeClr w14:val="tx1"/>
            </w14:solidFill>
          </w14:textFill>
        </w:rPr>
        <w:t>方</w:t>
      </w:r>
      <w:r>
        <w:rPr>
          <w:rFonts w:ascii="宋体" w:hAnsi="宋体" w:eastAsia="宋体" w:cs="宋体"/>
          <w:color w:val="000000" w:themeColor="text1"/>
          <w:kern w:val="0"/>
          <w:sz w:val="28"/>
          <w:szCs w:val="28"/>
          <w14:textFill>
            <w14:solidFill>
              <w14:schemeClr w14:val="tx1"/>
            </w14:solidFill>
          </w14:textFill>
        </w:rPr>
        <w:t>将</w:t>
      </w:r>
      <w:r>
        <w:rPr>
          <w:rFonts w:hint="eastAsia" w:ascii="宋体" w:hAnsi="宋体" w:eastAsia="宋体" w:cs="宋体"/>
          <w:color w:val="000000" w:themeColor="text1"/>
          <w:kern w:val="0"/>
          <w:sz w:val="28"/>
          <w:szCs w:val="28"/>
          <w14:textFill>
            <w14:solidFill>
              <w14:schemeClr w14:val="tx1"/>
            </w14:solidFill>
          </w14:textFill>
        </w:rPr>
        <w:t>分批次</w:t>
      </w:r>
      <w:r>
        <w:rPr>
          <w:rFonts w:ascii="宋体" w:hAnsi="宋体" w:eastAsia="宋体" w:cs="宋体"/>
          <w:color w:val="000000" w:themeColor="text1"/>
          <w:kern w:val="0"/>
          <w:sz w:val="28"/>
          <w:szCs w:val="28"/>
          <w14:textFill>
            <w14:solidFill>
              <w14:schemeClr w14:val="tx1"/>
            </w14:solidFill>
          </w14:textFill>
        </w:rPr>
        <w:t>组织各单位网站相关负责人集中</w:t>
      </w:r>
      <w:r>
        <w:rPr>
          <w:rFonts w:hint="eastAsia" w:ascii="宋体" w:hAnsi="宋体" w:eastAsia="宋体" w:cs="宋体"/>
          <w:color w:val="000000" w:themeColor="text1"/>
          <w:kern w:val="0"/>
          <w:sz w:val="28"/>
          <w:szCs w:val="28"/>
          <w14:textFill>
            <w14:solidFill>
              <w14:schemeClr w14:val="tx1"/>
            </w14:solidFill>
          </w14:textFill>
        </w:rPr>
        <w:t>轮</w:t>
      </w:r>
      <w:r>
        <w:rPr>
          <w:rFonts w:ascii="宋体" w:hAnsi="宋体" w:eastAsia="宋体" w:cs="宋体"/>
          <w:color w:val="000000" w:themeColor="text1"/>
          <w:kern w:val="0"/>
          <w:sz w:val="28"/>
          <w:szCs w:val="28"/>
          <w14:textFill>
            <w14:solidFill>
              <w14:schemeClr w14:val="tx1"/>
            </w14:solidFill>
          </w14:textFill>
        </w:rPr>
        <w:t>训，</w:t>
      </w:r>
      <w:r>
        <w:rPr>
          <w:rFonts w:hint="eastAsia" w:ascii="宋体" w:hAnsi="宋体" w:eastAsia="宋体" w:cs="宋体"/>
          <w:color w:val="000000" w:themeColor="text1"/>
          <w:kern w:val="0"/>
          <w:sz w:val="28"/>
          <w:szCs w:val="28"/>
          <w14:textFill>
            <w14:solidFill>
              <w14:schemeClr w14:val="tx1"/>
            </w14:solidFill>
          </w14:textFill>
        </w:rPr>
        <w:t>投标人</w:t>
      </w:r>
      <w:r>
        <w:rPr>
          <w:rFonts w:ascii="宋体" w:hAnsi="宋体" w:eastAsia="宋体" w:cs="宋体"/>
          <w:color w:val="000000" w:themeColor="text1"/>
          <w:kern w:val="0"/>
          <w:sz w:val="28"/>
          <w:szCs w:val="28"/>
          <w14:textFill>
            <w14:solidFill>
              <w14:schemeClr w14:val="tx1"/>
            </w14:solidFill>
          </w14:textFill>
        </w:rPr>
        <w:t>需派专业人员为采购</w:t>
      </w:r>
      <w:r>
        <w:rPr>
          <w:rFonts w:hint="eastAsia" w:ascii="宋体" w:hAnsi="宋体" w:eastAsia="宋体" w:cs="宋体"/>
          <w:color w:val="000000" w:themeColor="text1"/>
          <w:kern w:val="0"/>
          <w:sz w:val="28"/>
          <w:szCs w:val="28"/>
          <w:lang w:val="en-US" w:eastAsia="zh-CN"/>
          <w14:textFill>
            <w14:solidFill>
              <w14:schemeClr w14:val="tx1"/>
            </w14:solidFill>
          </w14:textFill>
        </w:rPr>
        <w:t>方</w:t>
      </w:r>
      <w:r>
        <w:rPr>
          <w:rFonts w:ascii="宋体" w:hAnsi="宋体" w:eastAsia="宋体" w:cs="宋体"/>
          <w:color w:val="000000" w:themeColor="text1"/>
          <w:kern w:val="0"/>
          <w:sz w:val="28"/>
          <w:szCs w:val="28"/>
          <w14:textFill>
            <w14:solidFill>
              <w14:schemeClr w14:val="tx1"/>
            </w14:solidFill>
          </w14:textFill>
        </w:rPr>
        <w:t>提供1次解读培训服务，</w:t>
      </w:r>
      <w:r>
        <w:rPr>
          <w:rFonts w:hint="eastAsia" w:ascii="宋体" w:hAnsi="宋体" w:eastAsia="宋体" w:cs="宋体"/>
          <w:color w:val="000000" w:themeColor="text1"/>
          <w:kern w:val="0"/>
          <w:sz w:val="28"/>
          <w:szCs w:val="28"/>
          <w:lang w:val="en-US" w:eastAsia="zh-CN"/>
          <w14:textFill>
            <w14:solidFill>
              <w14:schemeClr w14:val="tx1"/>
            </w14:solidFill>
          </w14:textFill>
        </w:rPr>
        <w:t>包括</w:t>
      </w:r>
      <w:r>
        <w:rPr>
          <w:rFonts w:ascii="宋体" w:hAnsi="宋体" w:eastAsia="宋体" w:cs="宋体"/>
          <w:color w:val="000000" w:themeColor="text1"/>
          <w:kern w:val="0"/>
          <w:sz w:val="28"/>
          <w:szCs w:val="28"/>
          <w14:textFill>
            <w14:solidFill>
              <w14:schemeClr w14:val="tx1"/>
            </w14:solidFill>
          </w14:textFill>
        </w:rPr>
        <w:t>解读国办政府网站检查指标体系、细则及泰州市政府网站群季度监测工作安排和要求。</w:t>
      </w:r>
    </w:p>
    <w:p>
      <w:pPr>
        <w:numPr>
          <w:ilvl w:val="0"/>
          <w:numId w:val="8"/>
        </w:numPr>
        <w:ind w:firstLine="560" w:firstLineChars="200"/>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其他要求</w:t>
      </w:r>
    </w:p>
    <w:p>
      <w:pPr>
        <w:ind w:firstLine="560" w:firstLineChars="200"/>
        <w:rPr>
          <w:rFonts w:ascii="宋体" w:hAnsi="宋体" w:eastAsia="宋体" w:cs="宋体"/>
          <w:b/>
          <w:bCs/>
          <w:color w:val="000000" w:themeColor="text1"/>
          <w:kern w:val="0"/>
          <w:sz w:val="28"/>
          <w:szCs w:val="28"/>
          <w:lang w:val="en-US"/>
          <w14:textFill>
            <w14:solidFill>
              <w14:schemeClr w14:val="tx1"/>
            </w14:solidFill>
          </w14:textFill>
        </w:rPr>
      </w:pPr>
      <w:r>
        <w:rPr>
          <w:rFonts w:hint="eastAsia" w:ascii="宋体" w:hAnsi="宋体" w:eastAsia="宋体" w:cs="宋体"/>
          <w:color w:val="000000" w:themeColor="text1"/>
          <w:kern w:val="0"/>
          <w:sz w:val="28"/>
          <w:szCs w:val="28"/>
          <w:lang w:val="en-US"/>
          <w14:textFill>
            <w14:solidFill>
              <w14:schemeClr w14:val="tx1"/>
            </w14:solidFill>
          </w14:textFill>
        </w:rPr>
        <w:t>★中</w:t>
      </w:r>
      <w:r>
        <w:rPr>
          <w:rFonts w:hint="eastAsia" w:ascii="宋体" w:hAnsi="宋体" w:eastAsia="宋体" w:cs="宋体"/>
          <w:color w:val="000000" w:themeColor="text1"/>
          <w:kern w:val="0"/>
          <w:sz w:val="28"/>
          <w:szCs w:val="28"/>
          <w14:textFill>
            <w14:solidFill>
              <w14:schemeClr w14:val="tx1"/>
            </w14:solidFill>
          </w14:textFill>
        </w:rPr>
        <w:t>标人</w:t>
      </w:r>
      <w:r>
        <w:rPr>
          <w:rFonts w:hint="eastAsia" w:ascii="宋体" w:hAnsi="宋体" w:eastAsia="宋体" w:cs="宋体"/>
          <w:color w:val="000000" w:themeColor="text1"/>
          <w:kern w:val="0"/>
          <w:sz w:val="28"/>
          <w:szCs w:val="28"/>
          <w:lang w:val="en-US"/>
          <w14:textFill>
            <w14:solidFill>
              <w14:schemeClr w14:val="tx1"/>
            </w14:solidFill>
          </w14:textFill>
        </w:rPr>
        <w:t>需承诺在服务期内，不以任何方式向本次监测服务涉及地区和部门额外提供类似服务</w:t>
      </w:r>
      <w:r>
        <w:rPr>
          <w:rFonts w:hint="eastAsia" w:ascii="宋体" w:hAnsi="宋体" w:eastAsia="宋体" w:cs="宋体"/>
          <w:color w:val="000000" w:themeColor="text1"/>
          <w:kern w:val="0"/>
          <w:sz w:val="28"/>
          <w:szCs w:val="28"/>
          <w:lang w:val="en-US" w:eastAsia="zh-CN"/>
          <w14:textFill>
            <w14:solidFill>
              <w14:schemeClr w14:val="tx1"/>
            </w14:solidFill>
          </w14:textFill>
        </w:rPr>
        <w:t>，</w:t>
      </w:r>
      <w:r>
        <w:rPr>
          <w:rFonts w:hint="eastAsia" w:ascii="宋体" w:hAnsi="宋体" w:eastAsia="宋体" w:cs="宋体"/>
          <w:b/>
          <w:bCs/>
          <w:color w:val="000000" w:themeColor="text1"/>
          <w:kern w:val="0"/>
          <w:sz w:val="28"/>
          <w:szCs w:val="28"/>
          <w:lang w:val="en-US"/>
          <w14:textFill>
            <w14:solidFill>
              <w14:schemeClr w14:val="tx1"/>
            </w14:solidFill>
          </w14:textFill>
        </w:rPr>
        <w:t>投标时须提供加盖公章的承诺材料。</w:t>
      </w:r>
    </w:p>
    <w:p>
      <w:pPr>
        <w:ind w:firstLine="562" w:firstLineChars="200"/>
        <w:outlineLvl w:val="2"/>
        <w:rPr>
          <w:rFonts w:ascii="宋体" w:hAnsi="宋体" w:eastAsia="宋体" w:cs="宋体"/>
          <w:b/>
          <w:color w:val="000000" w:themeColor="text1"/>
          <w:kern w:val="0"/>
          <w:sz w:val="28"/>
          <w:szCs w:val="28"/>
          <w14:textFill>
            <w14:solidFill>
              <w14:schemeClr w14:val="tx1"/>
            </w14:solidFill>
          </w14:textFill>
        </w:rPr>
      </w:pPr>
      <w:r>
        <w:rPr>
          <w:rFonts w:hint="eastAsia" w:ascii="宋体" w:hAnsi="宋体" w:eastAsia="宋体" w:cs="宋体"/>
          <w:b/>
          <w:color w:val="000000" w:themeColor="text1"/>
          <w:kern w:val="0"/>
          <w:sz w:val="28"/>
          <w:szCs w:val="28"/>
          <w14:textFill>
            <w14:solidFill>
              <w14:schemeClr w14:val="tx1"/>
            </w14:solidFill>
          </w14:textFill>
        </w:rPr>
        <w:t>3、项目成果</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w:t>
      </w:r>
      <w:r>
        <w:rPr>
          <w:rFonts w:ascii="宋体" w:hAnsi="宋体" w:eastAsia="宋体" w:cs="宋体"/>
          <w:color w:val="000000" w:themeColor="text1"/>
          <w:kern w:val="0"/>
          <w:sz w:val="28"/>
          <w:szCs w:val="28"/>
          <w14:textFill>
            <w14:solidFill>
              <w14:schemeClr w14:val="tx1"/>
            </w14:solidFill>
          </w14:textFill>
        </w:rPr>
        <w:t>《各单位网站季度监测报告》（</w:t>
      </w:r>
      <w:r>
        <w:rPr>
          <w:rFonts w:hint="eastAsia" w:ascii="宋体" w:hAnsi="宋体" w:eastAsia="宋体" w:cs="宋体"/>
          <w:color w:val="000000" w:themeColor="text1"/>
          <w:kern w:val="0"/>
          <w:sz w:val="28"/>
          <w:szCs w:val="28"/>
          <w:lang w:val="en-US" w:eastAsia="zh-CN"/>
          <w14:textFill>
            <w14:solidFill>
              <w14:schemeClr w14:val="tx1"/>
            </w14:solidFill>
          </w14:textFill>
        </w:rPr>
        <w:t>共8期</w:t>
      </w:r>
      <w:r>
        <w:rPr>
          <w:rFonts w:ascii="宋体" w:hAnsi="宋体" w:eastAsia="宋体" w:cs="宋体"/>
          <w:color w:val="000000" w:themeColor="text1"/>
          <w:kern w:val="0"/>
          <w:sz w:val="28"/>
          <w:szCs w:val="28"/>
          <w14:textFill>
            <w14:solidFill>
              <w14:schemeClr w14:val="tx1"/>
            </w14:solidFill>
          </w14:textFill>
        </w:rPr>
        <w:t>）</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14:textFill>
            <w14:solidFill>
              <w14:schemeClr w14:val="tx1"/>
            </w14:solidFill>
          </w14:textFill>
        </w:rPr>
        <w:t>全市政府网站监测情况的通报</w:t>
      </w:r>
      <w:r>
        <w:rPr>
          <w:rFonts w:ascii="宋体" w:hAnsi="宋体" w:eastAsia="宋体" w:cs="宋体"/>
          <w:color w:val="000000" w:themeColor="text1"/>
          <w:kern w:val="0"/>
          <w:sz w:val="28"/>
          <w:szCs w:val="28"/>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共4</w:t>
      </w:r>
      <w:r>
        <w:rPr>
          <w:rFonts w:ascii="宋体" w:hAnsi="宋体" w:eastAsia="宋体" w:cs="宋体"/>
          <w:color w:val="000000" w:themeColor="text1"/>
          <w:kern w:val="0"/>
          <w:sz w:val="28"/>
          <w:szCs w:val="28"/>
          <w14:textFill>
            <w14:solidFill>
              <w14:schemeClr w14:val="tx1"/>
            </w14:solidFill>
          </w14:textFill>
        </w:rPr>
        <w:t>期）</w:t>
      </w:r>
    </w:p>
    <w:p>
      <w:pPr>
        <w:ind w:firstLine="560" w:firstLineChars="20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3</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《政府网站检查指标解读PPT》</w:t>
      </w:r>
      <w:r>
        <w:rPr>
          <w:rFonts w:hint="eastAsia" w:ascii="宋体" w:hAnsi="宋体" w:eastAsia="宋体" w:cs="宋体"/>
          <w:color w:val="000000" w:themeColor="text1"/>
          <w:kern w:val="0"/>
          <w:sz w:val="28"/>
          <w:szCs w:val="28"/>
          <w:lang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共1期</w:t>
      </w:r>
      <w:r>
        <w:rPr>
          <w:rFonts w:hint="eastAsia" w:ascii="宋体" w:hAnsi="宋体" w:eastAsia="宋体" w:cs="宋体"/>
          <w:color w:val="000000" w:themeColor="text1"/>
          <w:kern w:val="0"/>
          <w:sz w:val="28"/>
          <w:szCs w:val="28"/>
          <w:lang w:eastAsia="zh-CN"/>
          <w14:textFill>
            <w14:solidFill>
              <w14:schemeClr w14:val="tx1"/>
            </w14:solidFill>
          </w14:textFill>
        </w:rPr>
        <w:t>）</w:t>
      </w:r>
    </w:p>
    <w:p>
      <w:pPr>
        <w:widowControl/>
        <w:ind w:firstLine="560" w:firstLineChars="200"/>
        <w:jc w:val="left"/>
        <w:rPr>
          <w:rFonts w:hint="eastAsia" w:ascii="宋体" w:hAnsi="宋体" w:cs="宋体"/>
          <w:b/>
          <w:bCs/>
          <w:color w:val="000000" w:themeColor="text1"/>
          <w:kern w:val="0"/>
          <w:sz w:val="28"/>
          <w:szCs w:val="28"/>
          <w:lang w:val="en-US"/>
          <w14:textFill>
            <w14:solidFill>
              <w14:schemeClr w14:val="tx1"/>
            </w14:solidFill>
          </w14:textFill>
        </w:rPr>
      </w:pPr>
      <w:r>
        <w:rPr>
          <w:rFonts w:hint="eastAsia" w:ascii="宋体" w:hAnsi="宋体" w:cs="宋体"/>
          <w:b/>
          <w:bCs/>
          <w:color w:val="000000" w:themeColor="text1"/>
          <w:kern w:val="0"/>
          <w:sz w:val="28"/>
          <w:szCs w:val="28"/>
          <w:lang w:val="en-US"/>
          <w14:textFill>
            <w14:solidFill>
              <w14:schemeClr w14:val="tx1"/>
            </w14:solidFill>
          </w14:textFill>
        </w:rPr>
        <w:t>注：标★项为实质性条款，如不响应视为无效投标。</w:t>
      </w:r>
    </w:p>
    <w:p>
      <w:pPr>
        <w:ind w:firstLine="560" w:firstLineChars="200"/>
        <w:outlineLvl w:val="1"/>
        <w:rPr>
          <w:rFonts w:ascii="黑体" w:hAnsi="黑体" w:eastAsia="黑体" w:cs="宋体"/>
          <w:color w:val="000000" w:themeColor="text1"/>
          <w:kern w:val="0"/>
          <w:sz w:val="28"/>
          <w:szCs w:val="28"/>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（二）有关说明</w:t>
      </w:r>
      <w:r>
        <w:rPr>
          <w:rFonts w:ascii="黑体" w:hAnsi="黑体" w:eastAsia="黑体" w:cs="宋体"/>
          <w:color w:val="000000" w:themeColor="text1"/>
          <w:kern w:val="0"/>
          <w:sz w:val="28"/>
          <w:szCs w:val="28"/>
          <w14:textFill>
            <w14:solidFill>
              <w14:schemeClr w14:val="tx1"/>
            </w14:solidFill>
          </w14:textFill>
        </w:rPr>
        <w:t xml:space="preserve"> </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1、项目最高限价：25万元</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2、</w:t>
      </w:r>
      <w:r>
        <w:rPr>
          <w:rFonts w:ascii="宋体" w:hAnsi="宋体" w:eastAsia="宋体" w:cs="宋体"/>
          <w:color w:val="000000" w:themeColor="text1"/>
          <w:kern w:val="0"/>
          <w:sz w:val="28"/>
          <w:szCs w:val="28"/>
          <w14:textFill>
            <w14:solidFill>
              <w14:schemeClr w14:val="tx1"/>
            </w14:solidFill>
          </w14:textFill>
        </w:rPr>
        <w:t>服务期：</w:t>
      </w:r>
      <w:r>
        <w:rPr>
          <w:rFonts w:hint="eastAsia" w:ascii="宋体" w:hAnsi="宋体" w:eastAsia="宋体" w:cs="宋体"/>
          <w:color w:val="000000" w:themeColor="text1"/>
          <w:kern w:val="0"/>
          <w:sz w:val="28"/>
          <w:szCs w:val="28"/>
          <w14:textFill>
            <w14:solidFill>
              <w14:schemeClr w14:val="tx1"/>
            </w14:solidFill>
          </w14:textFill>
        </w:rPr>
        <w:t>合同签订之日起1</w:t>
      </w:r>
      <w:r>
        <w:rPr>
          <w:rFonts w:ascii="宋体" w:hAnsi="宋体" w:eastAsia="宋体" w:cs="宋体"/>
          <w:color w:val="000000" w:themeColor="text1"/>
          <w:kern w:val="0"/>
          <w:sz w:val="28"/>
          <w:szCs w:val="28"/>
          <w14:textFill>
            <w14:solidFill>
              <w14:schemeClr w14:val="tx1"/>
            </w14:solidFill>
          </w14:textFill>
        </w:rPr>
        <w:t>年</w:t>
      </w:r>
    </w:p>
    <w:p>
      <w:pPr>
        <w:ind w:firstLine="560" w:firstLineChars="200"/>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3、</w:t>
      </w:r>
      <w:r>
        <w:rPr>
          <w:rFonts w:ascii="宋体" w:hAnsi="宋体" w:eastAsia="宋体" w:cs="宋体"/>
          <w:color w:val="000000" w:themeColor="text1"/>
          <w:kern w:val="0"/>
          <w:sz w:val="28"/>
          <w:szCs w:val="28"/>
          <w14:textFill>
            <w14:solidFill>
              <w14:schemeClr w14:val="tx1"/>
            </w14:solidFill>
          </w14:textFill>
        </w:rPr>
        <w:t>付款方式：合同签订后30个工作日内</w:t>
      </w:r>
      <w:r>
        <w:rPr>
          <w:rFonts w:hint="eastAsia" w:ascii="宋体" w:hAnsi="宋体" w:eastAsia="宋体" w:cs="宋体"/>
          <w:color w:val="000000" w:themeColor="text1"/>
          <w:kern w:val="0"/>
          <w:sz w:val="28"/>
          <w:szCs w:val="28"/>
          <w14:textFill>
            <w14:solidFill>
              <w14:schemeClr w14:val="tx1"/>
            </w14:solidFill>
          </w14:textFill>
        </w:rPr>
        <w:t>，</w:t>
      </w:r>
      <w:r>
        <w:rPr>
          <w:rFonts w:ascii="宋体" w:hAnsi="宋体" w:eastAsia="宋体" w:cs="宋体"/>
          <w:color w:val="000000" w:themeColor="text1"/>
          <w:kern w:val="0"/>
          <w:sz w:val="28"/>
          <w:szCs w:val="28"/>
          <w14:textFill>
            <w14:solidFill>
              <w14:schemeClr w14:val="tx1"/>
            </w14:solidFill>
          </w14:textFill>
        </w:rPr>
        <w:t>支付</w:t>
      </w:r>
      <w:r>
        <w:rPr>
          <w:rFonts w:hint="eastAsia" w:ascii="宋体" w:hAnsi="宋体" w:eastAsia="宋体" w:cs="宋体"/>
          <w:color w:val="000000" w:themeColor="text1"/>
          <w:kern w:val="0"/>
          <w:sz w:val="28"/>
          <w:szCs w:val="28"/>
          <w14:textFill>
            <w14:solidFill>
              <w14:schemeClr w14:val="tx1"/>
            </w14:solidFill>
          </w14:textFill>
        </w:rPr>
        <w:t>合同</w:t>
      </w:r>
      <w:r>
        <w:rPr>
          <w:rFonts w:ascii="宋体" w:hAnsi="宋体" w:eastAsia="宋体" w:cs="宋体"/>
          <w:color w:val="000000" w:themeColor="text1"/>
          <w:kern w:val="0"/>
          <w:sz w:val="28"/>
          <w:szCs w:val="28"/>
          <w14:textFill>
            <w14:solidFill>
              <w14:schemeClr w14:val="tx1"/>
            </w14:solidFill>
          </w14:textFill>
        </w:rPr>
        <w:t>总</w:t>
      </w:r>
      <w:r>
        <w:rPr>
          <w:rFonts w:hint="eastAsia" w:ascii="宋体" w:hAnsi="宋体" w:eastAsia="宋体" w:cs="宋体"/>
          <w:color w:val="000000" w:themeColor="text1"/>
          <w:kern w:val="0"/>
          <w:sz w:val="28"/>
          <w:szCs w:val="28"/>
          <w14:textFill>
            <w14:solidFill>
              <w14:schemeClr w14:val="tx1"/>
            </w14:solidFill>
          </w14:textFill>
        </w:rPr>
        <w:t>价款</w:t>
      </w:r>
      <w:r>
        <w:rPr>
          <w:rFonts w:ascii="宋体" w:hAnsi="宋体" w:eastAsia="宋体" w:cs="宋体"/>
          <w:color w:val="000000" w:themeColor="text1"/>
          <w:kern w:val="0"/>
          <w:sz w:val="28"/>
          <w:szCs w:val="28"/>
          <w14:textFill>
            <w14:solidFill>
              <w14:schemeClr w14:val="tx1"/>
            </w14:solidFill>
          </w14:textFill>
        </w:rPr>
        <w:t>的60%；</w:t>
      </w:r>
      <w:r>
        <w:rPr>
          <w:rFonts w:hint="eastAsia" w:ascii="宋体" w:hAnsi="宋体" w:eastAsia="宋体" w:cs="宋体"/>
          <w:color w:val="000000" w:themeColor="text1"/>
          <w:kern w:val="0"/>
          <w:sz w:val="28"/>
          <w:szCs w:val="28"/>
          <w14:textFill>
            <w14:solidFill>
              <w14:schemeClr w14:val="tx1"/>
            </w14:solidFill>
          </w14:textFill>
        </w:rPr>
        <w:t>依据合同规定的服务内容和时间要求，提交全部成果物，经甲方验收通过后，支付合同</w:t>
      </w:r>
      <w:r>
        <w:rPr>
          <w:rFonts w:ascii="宋体" w:hAnsi="宋体" w:eastAsia="宋体" w:cs="宋体"/>
          <w:color w:val="000000" w:themeColor="text1"/>
          <w:kern w:val="0"/>
          <w:sz w:val="28"/>
          <w:szCs w:val="28"/>
          <w14:textFill>
            <w14:solidFill>
              <w14:schemeClr w14:val="tx1"/>
            </w14:solidFill>
          </w14:textFill>
        </w:rPr>
        <w:t>总</w:t>
      </w:r>
      <w:r>
        <w:rPr>
          <w:rFonts w:hint="eastAsia" w:ascii="宋体" w:hAnsi="宋体" w:eastAsia="宋体" w:cs="宋体"/>
          <w:color w:val="000000" w:themeColor="text1"/>
          <w:kern w:val="0"/>
          <w:sz w:val="28"/>
          <w:szCs w:val="28"/>
          <w14:textFill>
            <w14:solidFill>
              <w14:schemeClr w14:val="tx1"/>
            </w14:solidFill>
          </w14:textFill>
        </w:rPr>
        <w:t>价款的</w:t>
      </w:r>
      <w:r>
        <w:rPr>
          <w:rFonts w:ascii="宋体" w:hAnsi="宋体" w:eastAsia="宋体" w:cs="宋体"/>
          <w:color w:val="000000" w:themeColor="text1"/>
          <w:kern w:val="0"/>
          <w:sz w:val="28"/>
          <w:szCs w:val="28"/>
          <w14:textFill>
            <w14:solidFill>
              <w14:schemeClr w14:val="tx1"/>
            </w14:solidFill>
          </w14:textFill>
        </w:rPr>
        <w:t>40%</w:t>
      </w:r>
      <w:r>
        <w:rPr>
          <w:rFonts w:hint="eastAsia" w:ascii="宋体" w:hAnsi="宋体" w:eastAsia="宋体" w:cs="宋体"/>
          <w:color w:val="000000" w:themeColor="text1"/>
          <w:kern w:val="0"/>
          <w:sz w:val="28"/>
          <w:szCs w:val="28"/>
          <w14:textFill>
            <w14:solidFill>
              <w14:schemeClr w14:val="tx1"/>
            </w14:solidFill>
          </w14:textFill>
        </w:rPr>
        <w:t>。</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p>
    <w:p>
      <w:pPr>
        <w:ind w:firstLine="560" w:firstLineChars="200"/>
        <w:rPr>
          <w:rFonts w:eastAsia="宋体"/>
        </w:rPr>
      </w:pPr>
      <w:r>
        <w:rPr>
          <w:rFonts w:hint="eastAsia" w:ascii="宋体" w:hAnsi="宋体" w:eastAsia="宋体" w:cs="宋体"/>
          <w:color w:val="000000" w:themeColor="text1"/>
          <w:kern w:val="0"/>
          <w:sz w:val="28"/>
          <w:szCs w:val="28"/>
          <w14:textFill>
            <w14:solidFill>
              <w14:schemeClr w14:val="tx1"/>
            </w14:solidFill>
          </w14:textFill>
        </w:rPr>
        <w:t>如我市政府网站群在上级部门（或上级部门委托的第三方机构）组织的政府网站检查中，被查出的问题是中标人当期监测中未查出的问题并被通报（以全省政府网站检查情况的通报为准），每发生1起（1个政府网站1个问题为1起）扣除合同总金额20%的费用。</w:t>
      </w: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下列关于泰州市政府采购XXX（项目编号）的采购文件、响应文件或与本次采购活动方式相适应的文件及有关附件是本合同不可分割的组成部分，与本合同具有同等法律效力，这些文件包括但不限于：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7"/>
        <w:tblW w:w="906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66"/>
        <w:gridCol w:w="1418"/>
        <w:gridCol w:w="708"/>
        <w:gridCol w:w="56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126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类别</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分项</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分值</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1266"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价格（</w:t>
            </w:r>
            <w:r>
              <w:rPr>
                <w:rFonts w:ascii="宋体" w:hAnsi="宋体" w:eastAsia="宋体" w:cs="黑体"/>
                <w:b/>
                <w:bCs/>
                <w:color w:val="000000" w:themeColor="text1"/>
                <w:kern w:val="0"/>
                <w:sz w:val="24"/>
                <w:szCs w:val="24"/>
                <w14:textFill>
                  <w14:solidFill>
                    <w14:schemeClr w14:val="tx1"/>
                  </w14:solidFill>
                </w14:textFill>
              </w:rPr>
              <w:t>1</w:t>
            </w:r>
            <w:r>
              <w:rPr>
                <w:rFonts w:hint="eastAsia" w:ascii="宋体" w:hAnsi="宋体" w:eastAsia="宋体" w:cs="黑体"/>
                <w:b/>
                <w:bCs/>
                <w:color w:val="000000" w:themeColor="text1"/>
                <w:kern w:val="0"/>
                <w:sz w:val="24"/>
                <w:szCs w:val="24"/>
                <w14:textFill>
                  <w14:solidFill>
                    <w14:schemeClr w14:val="tx1"/>
                  </w14:solidFill>
                </w14:textFill>
              </w:rPr>
              <w:t>0）</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报价</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10</w:t>
            </w:r>
          </w:p>
        </w:tc>
        <w:tc>
          <w:tcPr>
            <w:tcW w:w="5670" w:type="dxa"/>
            <w:tcBorders>
              <w:top w:val="single" w:color="auto" w:sz="8" w:space="0"/>
              <w:left w:val="single" w:color="auto" w:sz="8" w:space="0"/>
              <w:bottom w:val="single" w:color="auto" w:sz="8" w:space="0"/>
              <w:right w:val="single" w:color="auto" w:sz="8" w:space="0"/>
            </w:tcBorders>
          </w:tcPr>
          <w:p>
            <w:pPr>
              <w:rPr>
                <w:rFonts w:ascii="宋体" w:hAnsi="宋体"/>
                <w:color w:val="000000"/>
                <w:szCs w:val="21"/>
              </w:rPr>
            </w:pPr>
            <w:r>
              <w:rPr>
                <w:rFonts w:ascii="宋体" w:hAnsi="宋体"/>
                <w:color w:val="000000"/>
                <w:szCs w:val="21"/>
              </w:rPr>
              <w:t>采用低价优先法计算，即满足招标文件要求的最低的折扣率为评标基准价，其价格分为满分。其他投标人的价格分统一按照下列公式计算：投标报价得分=</w:t>
            </w:r>
            <w:r>
              <w:rPr>
                <w:rFonts w:hint="eastAsia" w:ascii="宋体" w:hAnsi="宋体"/>
                <w:color w:val="000000"/>
                <w:szCs w:val="21"/>
              </w:rPr>
              <w:t>（</w:t>
            </w:r>
            <w:r>
              <w:rPr>
                <w:rFonts w:ascii="宋体" w:hAnsi="宋体"/>
                <w:color w:val="000000"/>
                <w:szCs w:val="21"/>
              </w:rPr>
              <w:t>评标基准价／投标折扣</w:t>
            </w:r>
            <w:r>
              <w:rPr>
                <w:rFonts w:hint="eastAsia" w:ascii="宋体" w:hAnsi="宋体"/>
                <w:color w:val="000000"/>
                <w:szCs w:val="21"/>
              </w:rPr>
              <w:t>）</w:t>
            </w:r>
            <w:r>
              <w:rPr>
                <w:rFonts w:ascii="宋体" w:hAnsi="宋体"/>
                <w:color w:val="000000"/>
                <w:szCs w:val="21"/>
              </w:rPr>
              <w:t>×价格权值×100。</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ascii="宋体" w:hAnsi="宋体"/>
                <w:color w:val="000000"/>
                <w:szCs w:val="21"/>
              </w:rPr>
              <w:t>对小型和微型企业产品的价格给予20%的扣除。参加报价的中小企业，应当按照《政府采购促进中小企业发展管理办法》（财库〔2020〕46号）的规定提供《小微企业声明函》（中小企业划型标准详见《关于印发中小企业划型标准规定的通知》工信部联企业〔2011〕300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23" w:hRule="atLeast"/>
          <w:jc w:val="center"/>
        </w:trPr>
        <w:tc>
          <w:tcPr>
            <w:tcW w:w="1266" w:type="dxa"/>
            <w:vMerge w:val="restart"/>
            <w:tcBorders>
              <w:left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商务</w:t>
            </w:r>
          </w:p>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（2</w:t>
            </w:r>
            <w:r>
              <w:rPr>
                <w:rFonts w:hint="eastAsia" w:ascii="宋体" w:hAnsi="宋体" w:eastAsia="宋体" w:cs="黑体"/>
                <w:b/>
                <w:bCs/>
                <w:color w:val="000000" w:themeColor="text1"/>
                <w:kern w:val="0"/>
                <w:sz w:val="24"/>
                <w:szCs w:val="24"/>
                <w:lang w:val="en-US" w:eastAsia="zh-CN"/>
                <w14:textFill>
                  <w14:solidFill>
                    <w14:schemeClr w14:val="tx1"/>
                  </w14:solidFill>
                </w14:textFill>
              </w:rPr>
              <w:t>1</w:t>
            </w:r>
            <w:r>
              <w:rPr>
                <w:rFonts w:hint="eastAsia" w:ascii="宋体" w:hAnsi="宋体" w:eastAsia="宋体" w:cs="黑体"/>
                <w:b/>
                <w:bCs/>
                <w:color w:val="000000" w:themeColor="text1"/>
                <w:kern w:val="0"/>
                <w:sz w:val="24"/>
                <w:szCs w:val="24"/>
                <w14:textFill>
                  <w14:solidFill>
                    <w14:schemeClr w14:val="tx1"/>
                  </w14:solidFill>
                </w14:textFill>
              </w:rPr>
              <w:t>）</w:t>
            </w:r>
          </w:p>
        </w:tc>
        <w:tc>
          <w:tcPr>
            <w:tcW w:w="141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资质</w:t>
            </w:r>
          </w:p>
        </w:tc>
        <w:tc>
          <w:tcPr>
            <w:tcW w:w="708" w:type="dxa"/>
            <w:tcBorders>
              <w:top w:val="single" w:color="auto" w:sz="8" w:space="0"/>
              <w:left w:val="single" w:color="auto" w:sz="8" w:space="0"/>
              <w:right w:val="single" w:color="auto" w:sz="8" w:space="0"/>
            </w:tcBorders>
            <w:vAlign w:val="center"/>
          </w:tcPr>
          <w:p>
            <w:pPr>
              <w:widowControl/>
              <w:jc w:val="center"/>
              <w:rPr>
                <w:rFonts w:hint="eastAsia" w:ascii="宋体" w:hAnsi="宋体" w:eastAsia="宋体" w:cs="黑体"/>
                <w:color w:val="000000" w:themeColor="text1"/>
                <w:kern w:val="0"/>
                <w:sz w:val="24"/>
                <w:szCs w:val="24"/>
                <w:lang w:val="en-US" w:eastAsia="zh-CN"/>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w:t>
            </w:r>
            <w:r>
              <w:rPr>
                <w:rFonts w:hint="eastAsia" w:ascii="宋体" w:hAnsi="宋体" w:eastAsia="宋体" w:cs="黑体"/>
                <w:color w:val="000000" w:themeColor="text1"/>
                <w:kern w:val="0"/>
                <w:sz w:val="24"/>
                <w:szCs w:val="24"/>
                <w:lang w:val="en-US" w:eastAsia="zh-CN"/>
                <w14:textFill>
                  <w14:solidFill>
                    <w14:schemeClr w14:val="tx1"/>
                  </w14:solidFill>
                </w14:textFill>
              </w:rPr>
              <w:t>5</w:t>
            </w:r>
          </w:p>
        </w:tc>
        <w:tc>
          <w:tcPr>
            <w:tcW w:w="5670" w:type="dxa"/>
            <w:tcBorders>
              <w:top w:val="single" w:color="auto" w:sz="8" w:space="0"/>
              <w:left w:val="single" w:color="auto" w:sz="8" w:space="0"/>
              <w:right w:val="single" w:color="auto" w:sz="8" w:space="0"/>
            </w:tcBorders>
            <w:vAlign w:val="center"/>
          </w:tcPr>
          <w:p>
            <w:pPr>
              <w:widowControl/>
              <w:jc w:val="left"/>
              <w:rPr>
                <w:rFonts w:hint="eastAsia"/>
              </w:rPr>
            </w:pPr>
            <w:r>
              <w:rPr>
                <w:rFonts w:hint="eastAsia"/>
              </w:rPr>
              <w:t>（1）具有有效的ISO9001系列质量管理体系证书（认证覆盖范围包含：测评服务）的得</w:t>
            </w:r>
            <w:r>
              <w:rPr>
                <w:rFonts w:hint="default"/>
              </w:rPr>
              <w:t>5</w:t>
            </w:r>
            <w:r>
              <w:rPr>
                <w:rFonts w:hint="eastAsia"/>
              </w:rPr>
              <w:t>分，否则不得分；</w:t>
            </w:r>
          </w:p>
          <w:p>
            <w:pPr>
              <w:widowControl/>
              <w:jc w:val="left"/>
              <w:rPr>
                <w:rFonts w:hint="eastAsia"/>
              </w:rPr>
            </w:pPr>
            <w:r>
              <w:rPr>
                <w:rFonts w:hint="eastAsia"/>
              </w:rPr>
              <w:t>（2）具有有效的ISO27001系列信息安全管理体系证书（认证覆盖范围包含：测评服务）的得</w:t>
            </w:r>
            <w:r>
              <w:rPr>
                <w:rFonts w:hint="default"/>
              </w:rPr>
              <w:t>5</w:t>
            </w:r>
            <w:r>
              <w:rPr>
                <w:rFonts w:hint="eastAsia"/>
              </w:rPr>
              <w:t>分，否则不得分；</w:t>
            </w:r>
          </w:p>
          <w:p>
            <w:pPr>
              <w:widowControl/>
              <w:jc w:val="left"/>
              <w:rPr>
                <w:rFonts w:hint="eastAsia"/>
              </w:rPr>
            </w:pPr>
            <w:r>
              <w:rPr>
                <w:rFonts w:hint="eastAsia"/>
              </w:rPr>
              <w:t>（3）具有有效的ITSS信息技术服务认证的得</w:t>
            </w:r>
            <w:r>
              <w:rPr>
                <w:rFonts w:hint="default"/>
              </w:rPr>
              <w:t>5</w:t>
            </w:r>
            <w:r>
              <w:rPr>
                <w:rFonts w:hint="eastAsia"/>
              </w:rPr>
              <w:t>分，否则不得分。</w:t>
            </w:r>
          </w:p>
          <w:p>
            <w:pPr>
              <w:widowControl/>
              <w:jc w:val="left"/>
              <w:rPr>
                <w:rFonts w:hint="eastAsia"/>
              </w:rPr>
            </w:pPr>
            <w:r>
              <w:rPr>
                <w:rFonts w:hint="eastAsia"/>
              </w:rPr>
              <w:t>（须提供证书复印件并加盖公章）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98" w:hRule="atLeast"/>
          <w:jc w:val="center"/>
        </w:trPr>
        <w:tc>
          <w:tcPr>
            <w:tcW w:w="1266" w:type="dxa"/>
            <w:vMerge w:val="continue"/>
            <w:tcBorders>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案例</w:t>
            </w:r>
          </w:p>
        </w:tc>
        <w:tc>
          <w:tcPr>
            <w:tcW w:w="70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6</w:t>
            </w:r>
          </w:p>
        </w:tc>
        <w:tc>
          <w:tcPr>
            <w:tcW w:w="5670" w:type="dxa"/>
            <w:tcBorders>
              <w:top w:val="single" w:color="auto" w:sz="8" w:space="0"/>
              <w:left w:val="single" w:color="auto" w:sz="8" w:space="0"/>
              <w:right w:val="single" w:color="auto" w:sz="8" w:space="0"/>
            </w:tcBorders>
            <w:vAlign w:val="center"/>
          </w:tcPr>
          <w:p>
            <w:pPr>
              <w:widowControl/>
              <w:jc w:val="left"/>
              <w:rPr>
                <w:rFonts w:hint="eastAsia"/>
              </w:rPr>
            </w:pPr>
            <w:r>
              <w:rPr>
                <w:rFonts w:hint="eastAsia"/>
              </w:rPr>
              <w:t>投标供应商提供自2021年以来</w:t>
            </w:r>
            <w:r>
              <w:rPr>
                <w:rFonts w:hint="eastAsia"/>
                <w:lang w:val="en-US" w:eastAsia="zh-CN"/>
              </w:rPr>
              <w:t>与本项目类似的</w:t>
            </w:r>
            <w:r>
              <w:rPr>
                <w:rFonts w:hint="eastAsia"/>
                <w:lang w:eastAsia="zh-Hans"/>
              </w:rPr>
              <w:t>网站监测</w:t>
            </w:r>
            <w:r>
              <w:rPr>
                <w:rFonts w:hint="eastAsia"/>
              </w:rPr>
              <w:t>案例，每个案例得2分，不提供不得分。本项最高6分。</w:t>
            </w:r>
          </w:p>
          <w:p>
            <w:pPr>
              <w:widowControl/>
              <w:jc w:val="left"/>
              <w:rPr>
                <w:rFonts w:hint="eastAsia"/>
              </w:rPr>
            </w:pPr>
            <w:r>
              <w:rPr>
                <w:rFonts w:hint="eastAsia"/>
              </w:rPr>
              <w:t>（须提供合同复印件并加盖公章）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2" w:hRule="atLeast"/>
          <w:jc w:val="center"/>
        </w:trPr>
        <w:tc>
          <w:tcPr>
            <w:tcW w:w="1266" w:type="dxa"/>
            <w:tcBorders>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软著</w:t>
            </w:r>
          </w:p>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（1</w:t>
            </w:r>
            <w:r>
              <w:rPr>
                <w:rFonts w:ascii="宋体" w:hAnsi="宋体" w:eastAsia="宋体" w:cs="黑体"/>
                <w:b/>
                <w:bCs/>
                <w:color w:val="000000" w:themeColor="text1"/>
                <w:kern w:val="0"/>
                <w:sz w:val="24"/>
                <w:szCs w:val="24"/>
                <w14:textFill>
                  <w14:solidFill>
                    <w14:schemeClr w14:val="tx1"/>
                  </w14:solidFill>
                </w14:textFill>
              </w:rPr>
              <w:t>0</w:t>
            </w:r>
            <w:r>
              <w:rPr>
                <w:rFonts w:hint="eastAsia" w:ascii="宋体" w:hAnsi="宋体" w:eastAsia="宋体" w:cs="黑体"/>
                <w:b/>
                <w:bCs/>
                <w:color w:val="000000" w:themeColor="text1"/>
                <w:kern w:val="0"/>
                <w:sz w:val="24"/>
                <w:szCs w:val="24"/>
                <w14:textFill>
                  <w14:solidFill>
                    <w14:schemeClr w14:val="tx1"/>
                  </w14:solidFill>
                </w14:textFill>
              </w:rPr>
              <w:t>分）</w:t>
            </w:r>
          </w:p>
        </w:tc>
        <w:tc>
          <w:tcPr>
            <w:tcW w:w="1418" w:type="dxa"/>
            <w:tcBorders>
              <w:top w:val="single" w:color="auto" w:sz="8" w:space="0"/>
              <w:left w:val="single" w:color="auto" w:sz="8" w:space="0"/>
              <w:right w:val="single" w:color="auto" w:sz="8" w:space="0"/>
            </w:tcBorders>
            <w:vAlign w:val="center"/>
          </w:tcPr>
          <w:p>
            <w:pPr>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知识产权</w:t>
            </w:r>
          </w:p>
        </w:tc>
        <w:tc>
          <w:tcPr>
            <w:tcW w:w="70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10</w:t>
            </w:r>
          </w:p>
        </w:tc>
        <w:tc>
          <w:tcPr>
            <w:tcW w:w="5670" w:type="dxa"/>
            <w:tcBorders>
              <w:top w:val="single" w:color="auto" w:sz="8" w:space="0"/>
              <w:left w:val="single" w:color="auto" w:sz="8" w:space="0"/>
              <w:right w:val="single" w:color="auto" w:sz="8" w:space="0"/>
            </w:tcBorders>
            <w:vAlign w:val="center"/>
          </w:tcPr>
          <w:p>
            <w:pPr>
              <w:widowControl/>
              <w:jc w:val="left"/>
              <w:rPr>
                <w:rFonts w:hint="eastAsia"/>
              </w:rPr>
            </w:pPr>
            <w:r>
              <w:rPr>
                <w:rFonts w:hint="eastAsia"/>
              </w:rPr>
              <w:t>投标人提供投标供应商具有网站诊断与监测系统软件、网站测评系统软件、网站错别字检测系统软件、网站可用性监测系统软件、网站死链接检测系统软件的著作权证书，每有一个得2分。</w:t>
            </w:r>
          </w:p>
          <w:p>
            <w:pPr>
              <w:widowControl/>
              <w:jc w:val="left"/>
              <w:rPr>
                <w:rFonts w:hint="eastAsia"/>
              </w:rPr>
            </w:pPr>
            <w:r>
              <w:rPr>
                <w:rFonts w:hint="eastAsia"/>
              </w:rPr>
              <w:t>（</w:t>
            </w:r>
            <w:r>
              <w:rPr>
                <w:rFonts w:hint="eastAsia"/>
                <w:lang w:val="en-US" w:eastAsia="zh-CN"/>
              </w:rPr>
              <w:t>须</w:t>
            </w:r>
            <w:r>
              <w:rPr>
                <w:rFonts w:hint="eastAsia"/>
              </w:rPr>
              <w:t>提供证书复印件并加盖</w:t>
            </w:r>
            <w:r>
              <w:rPr>
                <w:rFonts w:hint="eastAsia"/>
                <w:lang w:val="en-US" w:eastAsia="zh-CN"/>
              </w:rPr>
              <w:t>公</w:t>
            </w:r>
            <w:r>
              <w:rPr>
                <w:rFonts w:hint="eastAsia"/>
              </w:rPr>
              <w:t>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7" w:hRule="atLeast"/>
          <w:jc w:val="center"/>
        </w:trPr>
        <w:tc>
          <w:tcPr>
            <w:tcW w:w="1266" w:type="dxa"/>
            <w:tcBorders>
              <w:left w:val="single" w:color="auto" w:sz="8" w:space="0"/>
              <w:bottom w:val="single" w:color="auto" w:sz="8" w:space="0"/>
              <w:right w:val="single" w:color="auto" w:sz="8" w:space="0"/>
            </w:tcBorders>
            <w:vAlign w:val="center"/>
          </w:tcPr>
          <w:p>
            <w:pPr>
              <w:widowControl/>
              <w:rPr>
                <w:color w:val="000000" w:themeColor="text1"/>
                <w14:textFill>
                  <w14:solidFill>
                    <w14:schemeClr w14:val="tx1"/>
                  </w14:solidFill>
                </w14:textFill>
              </w:rPr>
            </w:pPr>
            <w:r>
              <w:rPr>
                <w:rFonts w:hint="eastAsia" w:ascii="宋体" w:hAnsi="宋体" w:eastAsia="宋体" w:cs="黑体"/>
                <w:b/>
                <w:bCs/>
                <w:color w:val="000000" w:themeColor="text1"/>
                <w:kern w:val="0"/>
                <w:sz w:val="24"/>
                <w:szCs w:val="24"/>
                <w:lang w:eastAsia="zh-Hans"/>
                <w14:textFill>
                  <w14:solidFill>
                    <w14:schemeClr w14:val="tx1"/>
                  </w14:solidFill>
                </w14:textFill>
              </w:rPr>
              <w:t>系统演示</w:t>
            </w:r>
            <w:r>
              <w:rPr>
                <w:rFonts w:hint="eastAsia" w:ascii="宋体" w:hAnsi="宋体" w:eastAsia="宋体" w:cs="黑体"/>
                <w:b/>
                <w:bCs/>
                <w:color w:val="000000" w:themeColor="text1"/>
                <w:kern w:val="0"/>
                <w:sz w:val="24"/>
                <w:szCs w:val="24"/>
                <w14:textFill>
                  <w14:solidFill>
                    <w14:schemeClr w14:val="tx1"/>
                  </w14:solidFill>
                </w14:textFill>
              </w:rPr>
              <w:t>（</w:t>
            </w:r>
            <w:r>
              <w:rPr>
                <w:rFonts w:ascii="宋体" w:hAnsi="宋体" w:eastAsia="宋体" w:cs="黑体"/>
                <w:b/>
                <w:bCs/>
                <w:color w:val="000000" w:themeColor="text1"/>
                <w:kern w:val="0"/>
                <w:sz w:val="24"/>
                <w:szCs w:val="24"/>
                <w14:textFill>
                  <w14:solidFill>
                    <w14:schemeClr w14:val="tx1"/>
                  </w14:solidFill>
                </w14:textFill>
              </w:rPr>
              <w:t>15分</w:t>
            </w:r>
            <w:r>
              <w:rPr>
                <w:rFonts w:hint="eastAsia" w:ascii="宋体" w:hAnsi="宋体" w:eastAsia="宋体" w:cs="黑体"/>
                <w:b/>
                <w:bCs/>
                <w:color w:val="000000" w:themeColor="text1"/>
                <w:kern w:val="0"/>
                <w:sz w:val="24"/>
                <w:szCs w:val="24"/>
                <w14:textFill>
                  <w14:solidFill>
                    <w14:schemeClr w14:val="tx1"/>
                  </w14:solidFill>
                </w14:textFill>
              </w:rPr>
              <w:t>）</w:t>
            </w:r>
          </w:p>
        </w:tc>
        <w:tc>
          <w:tcPr>
            <w:tcW w:w="1418" w:type="dxa"/>
            <w:tcBorders>
              <w:top w:val="single" w:color="auto" w:sz="8" w:space="0"/>
              <w:left w:val="single" w:color="auto" w:sz="8" w:space="0"/>
              <w:right w:val="single" w:color="auto" w:sz="8" w:space="0"/>
            </w:tcBorders>
            <w:vAlign w:val="center"/>
          </w:tcPr>
          <w:p>
            <w:pPr>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lang w:eastAsia="zh-Hans"/>
                <w14:textFill>
                  <w14:solidFill>
                    <w14:schemeClr w14:val="tx1"/>
                  </w14:solidFill>
                </w14:textFill>
              </w:rPr>
              <w:t>监测</w:t>
            </w:r>
            <w:r>
              <w:rPr>
                <w:rFonts w:hint="eastAsia" w:ascii="宋体" w:hAnsi="宋体" w:eastAsia="宋体" w:cs="黑体"/>
                <w:color w:val="000000" w:themeColor="text1"/>
                <w:kern w:val="0"/>
                <w:sz w:val="24"/>
                <w:szCs w:val="24"/>
                <w14:textFill>
                  <w14:solidFill>
                    <w14:schemeClr w14:val="tx1"/>
                  </w14:solidFill>
                </w14:textFill>
              </w:rPr>
              <w:t>工具</w:t>
            </w:r>
          </w:p>
        </w:tc>
        <w:tc>
          <w:tcPr>
            <w:tcW w:w="708" w:type="dxa"/>
            <w:tcBorders>
              <w:top w:val="single" w:color="auto" w:sz="8" w:space="0"/>
              <w:left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15</w:t>
            </w:r>
          </w:p>
        </w:tc>
        <w:tc>
          <w:tcPr>
            <w:tcW w:w="5670" w:type="dxa"/>
            <w:tcBorders>
              <w:top w:val="single" w:color="auto" w:sz="8" w:space="0"/>
              <w:left w:val="single" w:color="auto" w:sz="8" w:space="0"/>
              <w:right w:val="single" w:color="auto" w:sz="8" w:space="0"/>
            </w:tcBorders>
            <w:vAlign w:val="center"/>
          </w:tcPr>
          <w:p>
            <w:pPr>
              <w:rPr>
                <w:rFonts w:hint="eastAsia" w:eastAsia="等线"/>
                <w:lang w:eastAsia="zh-CN"/>
              </w:rPr>
            </w:pPr>
            <w:r>
              <w:rPr>
                <w:rFonts w:hint="eastAsia"/>
              </w:rPr>
              <w:t>根据现场功能演示进行评分，供应商演示时间不超过15分钟。</w:t>
            </w:r>
            <w:r>
              <w:rPr>
                <w:rFonts w:ascii="宋体" w:hAnsi="宋体"/>
                <w:szCs w:val="21"/>
              </w:rPr>
              <w:t>根据功能实现的完整性、先进性进行各家横向对比综合评分，</w:t>
            </w:r>
            <w:r>
              <w:rPr>
                <w:rFonts w:hint="eastAsia"/>
              </w:rPr>
              <w:t>使用软件系统</w:t>
            </w:r>
            <w:r>
              <w:rPr>
                <w:rFonts w:hint="eastAsia"/>
                <w:lang w:val="en-US" w:eastAsia="zh-CN"/>
              </w:rPr>
              <w:t>完整</w:t>
            </w:r>
            <w:r>
              <w:rPr>
                <w:rFonts w:hint="eastAsia" w:ascii="宋体" w:hAnsi="宋体"/>
                <w:szCs w:val="21"/>
              </w:rPr>
              <w:t>演示每个功能点，完全满足功能要求的得</w:t>
            </w:r>
            <w:r>
              <w:rPr>
                <w:rFonts w:hint="eastAsia" w:ascii="宋体" w:hAnsi="宋体"/>
                <w:szCs w:val="21"/>
                <w:lang w:val="en-US" w:eastAsia="zh-CN"/>
              </w:rPr>
              <w:t>3</w:t>
            </w:r>
            <w:r>
              <w:rPr>
                <w:rFonts w:ascii="宋体" w:hAnsi="宋体"/>
                <w:szCs w:val="21"/>
              </w:rPr>
              <w:t>分</w:t>
            </w:r>
            <w:r>
              <w:rPr>
                <w:rFonts w:hint="eastAsia" w:ascii="宋体" w:hAnsi="宋体"/>
                <w:szCs w:val="21"/>
              </w:rPr>
              <w:t>，其他不得分</w:t>
            </w:r>
            <w:r>
              <w:rPr>
                <w:rFonts w:hint="eastAsia" w:ascii="宋体" w:hAnsi="宋体"/>
                <w:szCs w:val="21"/>
                <w:lang w:eastAsia="zh-CN"/>
              </w:rPr>
              <w:t>。</w:t>
            </w:r>
          </w:p>
          <w:p>
            <w:pPr>
              <w:widowControl/>
              <w:jc w:val="left"/>
              <w:rPr>
                <w:rFonts w:hint="eastAsia"/>
              </w:rPr>
            </w:pPr>
            <w:r>
              <w:rPr>
                <w:rFonts w:hint="eastAsia"/>
              </w:rPr>
              <w:t>（1）具有测评指标导入和自定义功能；</w:t>
            </w:r>
          </w:p>
          <w:p>
            <w:pPr>
              <w:widowControl/>
              <w:jc w:val="left"/>
              <w:rPr>
                <w:rFonts w:hint="eastAsia"/>
              </w:rPr>
            </w:pPr>
            <w:r>
              <w:rPr>
                <w:rFonts w:hint="eastAsia"/>
              </w:rPr>
              <w:t>（</w:t>
            </w:r>
            <w:r>
              <w:rPr>
                <w:rFonts w:hint="eastAsia"/>
                <w:lang w:val="en-US" w:eastAsia="zh-CN"/>
              </w:rPr>
              <w:t>2</w:t>
            </w:r>
            <w:r>
              <w:rPr>
                <w:rFonts w:hint="eastAsia"/>
              </w:rPr>
              <w:t>）具有测评项目管理功能，包括人员分配，任务分配，得3分；</w:t>
            </w:r>
          </w:p>
          <w:p>
            <w:pPr>
              <w:widowControl/>
              <w:jc w:val="left"/>
              <w:rPr>
                <w:rFonts w:hint="eastAsia"/>
              </w:rPr>
            </w:pPr>
            <w:r>
              <w:rPr>
                <w:rFonts w:hint="eastAsia"/>
              </w:rPr>
              <w:t>（</w:t>
            </w:r>
            <w:r>
              <w:rPr>
                <w:rFonts w:hint="eastAsia"/>
                <w:lang w:val="en-US" w:eastAsia="zh-CN"/>
              </w:rPr>
              <w:t>3</w:t>
            </w:r>
            <w:r>
              <w:rPr>
                <w:rFonts w:hint="eastAsia"/>
              </w:rPr>
              <w:t>）具有生成测评报告和得分排名功能；</w:t>
            </w:r>
          </w:p>
          <w:p>
            <w:pPr>
              <w:widowControl/>
              <w:jc w:val="left"/>
              <w:rPr>
                <w:rFonts w:hint="eastAsia"/>
              </w:rPr>
            </w:pPr>
            <w:r>
              <w:rPr>
                <w:rFonts w:hint="eastAsia"/>
              </w:rPr>
              <w:t>（</w:t>
            </w:r>
            <w:r>
              <w:rPr>
                <w:rFonts w:hint="eastAsia"/>
                <w:lang w:val="en-US" w:eastAsia="zh-CN"/>
              </w:rPr>
              <w:t>4</w:t>
            </w:r>
            <w:r>
              <w:rPr>
                <w:rFonts w:hint="eastAsia"/>
              </w:rPr>
              <w:t>）具有测评进度展示功能；</w:t>
            </w:r>
          </w:p>
          <w:p>
            <w:pPr>
              <w:widowControl/>
              <w:jc w:val="left"/>
              <w:rPr>
                <w:rFonts w:hint="eastAsia"/>
              </w:rPr>
            </w:pPr>
            <w:r>
              <w:rPr>
                <w:rFonts w:hint="eastAsia"/>
              </w:rPr>
              <w:t>（</w:t>
            </w:r>
            <w:r>
              <w:rPr>
                <w:rFonts w:hint="eastAsia"/>
                <w:lang w:val="en-US" w:eastAsia="zh-CN"/>
              </w:rPr>
              <w:t>5</w:t>
            </w:r>
            <w:r>
              <w:rPr>
                <w:rFonts w:hint="eastAsia"/>
              </w:rPr>
              <w:t>）具有测评截图插件工具。</w:t>
            </w:r>
          </w:p>
          <w:p>
            <w:pPr>
              <w:widowControl/>
              <w:jc w:val="left"/>
              <w:rPr>
                <w:rFonts w:hint="default"/>
                <w:lang w:val="en-US"/>
              </w:rPr>
            </w:pPr>
            <w:r>
              <w:rPr>
                <w:rFonts w:hint="eastAsia"/>
                <w:lang w:val="en-US" w:eastAsia="zh-CN"/>
              </w:rPr>
              <w:t>如有其他工具演示得到专家认可的，得2分，</w:t>
            </w:r>
            <w:bookmarkStart w:id="23" w:name="_GoBack"/>
            <w:bookmarkEnd w:id="23"/>
            <w:r>
              <w:rPr>
                <w:rFonts w:hint="eastAsia" w:ascii="宋体" w:hAnsi="宋体"/>
                <w:szCs w:val="21"/>
                <w:lang w:val="en-US" w:eastAsia="zh-CN"/>
              </w:rPr>
              <w:t>此项</w:t>
            </w:r>
            <w:r>
              <w:rPr>
                <w:rFonts w:hint="eastAsia"/>
                <w:lang w:val="en-US" w:eastAsia="zh-CN"/>
              </w:rPr>
              <w:t>总分不超过15分。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1" w:hRule="atLeast"/>
          <w:jc w:val="center"/>
        </w:trPr>
        <w:tc>
          <w:tcPr>
            <w:tcW w:w="1266" w:type="dxa"/>
            <w:vMerge w:val="restart"/>
            <w:tcBorders>
              <w:left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技术</w:t>
            </w:r>
          </w:p>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（4</w:t>
            </w:r>
            <w:r>
              <w:rPr>
                <w:rFonts w:hint="eastAsia" w:ascii="宋体" w:hAnsi="宋体" w:eastAsia="宋体" w:cs="黑体"/>
                <w:b/>
                <w:bCs/>
                <w:color w:val="000000" w:themeColor="text1"/>
                <w:kern w:val="0"/>
                <w:sz w:val="24"/>
                <w:szCs w:val="24"/>
                <w:lang w:val="en-US" w:eastAsia="zh-CN"/>
                <w14:textFill>
                  <w14:solidFill>
                    <w14:schemeClr w14:val="tx1"/>
                  </w14:solidFill>
                </w14:textFill>
              </w:rPr>
              <w:t>4</w:t>
            </w:r>
            <w:r>
              <w:rPr>
                <w:rFonts w:hint="eastAsia" w:ascii="宋体" w:hAnsi="宋体" w:eastAsia="宋体" w:cs="黑体"/>
                <w:b/>
                <w:bCs/>
                <w:color w:val="000000" w:themeColor="text1"/>
                <w:kern w:val="0"/>
                <w:sz w:val="24"/>
                <w:szCs w:val="24"/>
                <w14:textFill>
                  <w14:solidFill>
                    <w14:schemeClr w14:val="tx1"/>
                  </w14:solidFill>
                </w14:textFill>
              </w:rPr>
              <w:t>分）</w:t>
            </w: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lang w:eastAsia="zh-Hans"/>
                <w14:textFill>
                  <w14:solidFill>
                    <w14:schemeClr w14:val="tx1"/>
                  </w14:solidFill>
                </w14:textFill>
              </w:rPr>
            </w:pPr>
            <w:r>
              <w:rPr>
                <w:rFonts w:hint="eastAsia" w:ascii="宋体" w:hAnsi="宋体" w:eastAsia="宋体" w:cs="黑体"/>
                <w:color w:val="000000" w:themeColor="text1"/>
                <w:kern w:val="0"/>
                <w:sz w:val="24"/>
                <w:szCs w:val="24"/>
                <w:lang w:eastAsia="zh-Hans"/>
                <w14:textFill>
                  <w14:solidFill>
                    <w14:schemeClr w14:val="tx1"/>
                  </w14:solidFill>
                </w14:textFill>
              </w:rPr>
              <w:t>技术方案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8</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rPr>
            </w:pPr>
            <w:r>
              <w:rPr>
                <w:rFonts w:hint="eastAsia"/>
                <w:lang w:val="en-US" w:eastAsia="zh-CN"/>
              </w:rPr>
              <w:t>1</w:t>
            </w:r>
            <w:r>
              <w:rPr>
                <w:rFonts w:hint="eastAsia"/>
              </w:rPr>
              <w:t>、提供了项目技术方案，明确了各项工作的内容和时间节点，详细分析了全市政府网站的现状及存在的问题，分析结果观点鲜明、逻辑清晰，与全市政府网站的实际情况一致。详细分析了国务院办公厅关于政府网站建设的基本要求，分析结果深入、透彻，按照分析结果</w:t>
            </w:r>
            <w:r>
              <w:rPr>
                <w:rFonts w:hint="eastAsia"/>
                <w:lang w:eastAsia="zh-CN"/>
              </w:rPr>
              <w:t>能够更好的指导</w:t>
            </w:r>
            <w:r>
              <w:rPr>
                <w:rFonts w:hint="eastAsia"/>
              </w:rPr>
              <w:t>全市政府网站的建设。详细分析了全国政府网站的发展趋势，观点鲜明，符合现状。提供了检查指标、评估指标体系和对应的解读，解读充分解读国家对政府网站的最新要求，逐项逐指标逐条进行案例剖析，指出容易出现的错误和可借鉴的优秀做法，提出下一步努力的方向和具体措施，促进政府网站建设管理水平的整体提升和政府网站队伍的建设，得</w:t>
            </w:r>
            <w:r>
              <w:rPr>
                <w:rFonts w:hint="eastAsia"/>
                <w:lang w:val="en-US" w:eastAsia="zh-CN"/>
              </w:rPr>
              <w:t>8</w:t>
            </w:r>
            <w:r>
              <w:rPr>
                <w:rFonts w:hint="eastAsia"/>
              </w:rPr>
              <w:t>分。</w:t>
            </w:r>
          </w:p>
          <w:p>
            <w:pPr>
              <w:widowControl/>
              <w:jc w:val="left"/>
              <w:rPr>
                <w:rFonts w:hint="eastAsia"/>
              </w:rPr>
            </w:pPr>
            <w:r>
              <w:rPr>
                <w:rFonts w:hint="eastAsia"/>
              </w:rPr>
              <w:t>2、提供了项目技术方案，分析了全市政府网站的现状及存在的问题，分析总结了国务院办公厅关于政府网站建设的基本要求，分析政府网站发展趋势，提供了检查指标、评估指标体系和解读，提供了检查、诊断工作所需的技术手段或工具；得</w:t>
            </w:r>
            <w:r>
              <w:t>4</w:t>
            </w:r>
            <w:r>
              <w:rPr>
                <w:rFonts w:hint="eastAsia"/>
              </w:rPr>
              <w:t>-</w:t>
            </w:r>
            <w:r>
              <w:rPr>
                <w:rFonts w:hint="eastAsia"/>
                <w:lang w:val="en-US" w:eastAsia="zh-CN"/>
              </w:rPr>
              <w:t>7</w:t>
            </w:r>
            <w:r>
              <w:rPr>
                <w:rFonts w:hint="eastAsia"/>
              </w:rPr>
              <w:t>分。</w:t>
            </w:r>
          </w:p>
          <w:p>
            <w:pPr>
              <w:widowControl/>
              <w:jc w:val="left"/>
              <w:rPr>
                <w:rFonts w:hint="eastAsia"/>
              </w:rPr>
            </w:pPr>
            <w:r>
              <w:rPr>
                <w:rFonts w:hint="eastAsia"/>
                <w:lang w:val="en-US" w:eastAsia="zh-CN"/>
              </w:rPr>
              <w:t>3</w:t>
            </w:r>
            <w:r>
              <w:rPr>
                <w:rFonts w:hint="eastAsia"/>
              </w:rPr>
              <w:t>、提供了项目技术方案，方案满足采购文件要求；得</w:t>
            </w:r>
            <w:r>
              <w:rPr>
                <w:rFonts w:hint="eastAsia"/>
                <w:lang w:val="en-US" w:eastAsia="zh-CN"/>
              </w:rPr>
              <w:t>1</w:t>
            </w:r>
            <w:r>
              <w:rPr>
                <w:rFonts w:hint="eastAsia"/>
              </w:rPr>
              <w:t>-</w:t>
            </w:r>
            <w:r>
              <w:t>3</w:t>
            </w:r>
            <w:r>
              <w:rPr>
                <w:rFonts w:hint="eastAsia"/>
              </w:rPr>
              <w:t>分。</w:t>
            </w:r>
          </w:p>
          <w:p>
            <w:pPr>
              <w:pStyle w:val="2"/>
              <w:ind w:left="0" w:leftChars="0" w:firstLine="0" w:firstLineChars="0"/>
              <w:jc w:val="left"/>
              <w:rPr>
                <w:rFonts w:hint="default" w:eastAsia="宋体"/>
                <w:lang w:val="en-US" w:eastAsia="zh-CN"/>
              </w:rPr>
            </w:pPr>
            <w:r>
              <w:rPr>
                <w:rFonts w:hint="eastAsia" w:ascii="等线" w:hAnsi="等线" w:eastAsia="等线" w:cs="Times New Roman"/>
                <w:kern w:val="2"/>
                <w:sz w:val="21"/>
                <w:szCs w:val="22"/>
                <w:lang w:val="en-US" w:eastAsia="zh-CN" w:bidi="ar-SA"/>
              </w:rPr>
              <w:t>4、没有方案不得分。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12" w:hRule="atLeast"/>
          <w:jc w:val="center"/>
        </w:trPr>
        <w:tc>
          <w:tcPr>
            <w:tcW w:w="1266" w:type="dxa"/>
            <w:vMerge w:val="continue"/>
            <w:tcBorders>
              <w:left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lang w:eastAsia="zh-Hans"/>
                <w14:textFill>
                  <w14:solidFill>
                    <w14:schemeClr w14:val="tx1"/>
                  </w14:solidFill>
                </w14:textFill>
              </w:rPr>
            </w:pPr>
            <w:r>
              <w:rPr>
                <w:rFonts w:hint="eastAsia" w:ascii="宋体" w:hAnsi="宋体" w:eastAsia="宋体" w:cs="黑体"/>
                <w:color w:val="000000" w:themeColor="text1"/>
                <w:kern w:val="0"/>
                <w:sz w:val="24"/>
                <w:szCs w:val="24"/>
                <w:lang w:eastAsia="zh-Hans"/>
                <w14:textFill>
                  <w14:solidFill>
                    <w14:schemeClr w14:val="tx1"/>
                  </w14:solidFill>
                </w14:textFill>
              </w:rPr>
              <w:t>实施方案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宋体" w:hAnsi="宋体" w:eastAsia="宋体" w:cs="黑体"/>
                <w:color w:val="000000" w:themeColor="text1"/>
                <w:kern w:val="0"/>
                <w:sz w:val="24"/>
                <w:szCs w:val="24"/>
                <w:lang w:val="en-US" w:eastAsia="zh-CN"/>
                <w14:textFill>
                  <w14:solidFill>
                    <w14:schemeClr w14:val="tx1"/>
                  </w14:solidFill>
                </w14:textFill>
              </w:rPr>
            </w:pPr>
            <w:r>
              <w:rPr>
                <w:rFonts w:hint="eastAsia" w:ascii="宋体" w:hAnsi="宋体" w:eastAsia="宋体" w:cs="黑体"/>
                <w:color w:val="000000" w:themeColor="text1"/>
                <w:kern w:val="0"/>
                <w:sz w:val="24"/>
                <w:szCs w:val="24"/>
                <w:lang w:val="en-US" w:eastAsia="zh-CN"/>
                <w14:textFill>
                  <w14:solidFill>
                    <w14:schemeClr w14:val="tx1"/>
                  </w14:solidFill>
                </w14:textFill>
              </w:rPr>
              <w:t>8</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pPr>
            <w:r>
              <w:rPr>
                <w:rFonts w:hint="eastAsia"/>
                <w:lang w:val="en-US" w:eastAsia="zh-CN"/>
              </w:rPr>
              <w:t>1</w:t>
            </w:r>
            <w:r>
              <w:rPr>
                <w:rFonts w:hint="eastAsia"/>
              </w:rPr>
              <w:t>、</w:t>
            </w:r>
            <w:r>
              <w:t>项目实施路线、项目执行组织措施、项目执行保障措施详细可行，针对本项目投入充足的人员（附有关证书）经验丰富，实施组织方案完备优秀</w:t>
            </w:r>
            <w:r>
              <w:rPr>
                <w:rFonts w:hint="eastAsia"/>
              </w:rPr>
              <w:t>；得</w:t>
            </w:r>
            <w:r>
              <w:rPr>
                <w:rFonts w:hint="eastAsia"/>
                <w:lang w:val="en-US" w:eastAsia="zh-CN"/>
              </w:rPr>
              <w:t>8</w:t>
            </w:r>
            <w:r>
              <w:t>分</w:t>
            </w:r>
            <w:r>
              <w:rPr>
                <w:rFonts w:hint="eastAsia"/>
              </w:rPr>
              <w:t>。</w:t>
            </w:r>
          </w:p>
          <w:p>
            <w:pPr>
              <w:widowControl/>
              <w:jc w:val="left"/>
              <w:rPr>
                <w:rFonts w:hint="eastAsia"/>
              </w:rPr>
            </w:pPr>
            <w:r>
              <w:t>2</w:t>
            </w:r>
            <w:r>
              <w:rPr>
                <w:rFonts w:hint="eastAsia"/>
              </w:rPr>
              <w:t>、</w:t>
            </w:r>
            <w:r>
              <w:t>项目实施路线、项目执行组织措施、项目执行保障措施详细可行，针对本项目投入较多人员（附有关证书）经验较丰富；实施组织方案良好</w:t>
            </w:r>
            <w:r>
              <w:rPr>
                <w:rFonts w:hint="eastAsia"/>
              </w:rPr>
              <w:t>；得</w:t>
            </w:r>
            <w:r>
              <w:rPr>
                <w:rFonts w:hint="eastAsia"/>
                <w:lang w:val="en-US" w:eastAsia="zh-CN"/>
              </w:rPr>
              <w:t>4</w:t>
            </w:r>
            <w:r>
              <w:rPr>
                <w:rFonts w:hint="eastAsia"/>
              </w:rPr>
              <w:t>-</w:t>
            </w:r>
            <w:r>
              <w:rPr>
                <w:rFonts w:hint="eastAsia"/>
                <w:lang w:val="en-US" w:eastAsia="zh-CN"/>
              </w:rPr>
              <w:t>7</w:t>
            </w:r>
            <w:r>
              <w:t>分</w:t>
            </w:r>
            <w:r>
              <w:rPr>
                <w:rFonts w:hint="eastAsia"/>
              </w:rPr>
              <w:t>。</w:t>
            </w:r>
          </w:p>
          <w:p>
            <w:pPr>
              <w:widowControl/>
              <w:jc w:val="left"/>
              <w:rPr>
                <w:rFonts w:hint="eastAsia"/>
              </w:rPr>
            </w:pPr>
            <w:r>
              <w:rPr>
                <w:rFonts w:hint="eastAsia"/>
                <w:lang w:val="en-US" w:eastAsia="zh-CN"/>
              </w:rPr>
              <w:t>3</w:t>
            </w:r>
            <w:r>
              <w:rPr>
                <w:rFonts w:hint="eastAsia"/>
              </w:rPr>
              <w:t>、</w:t>
            </w:r>
            <w:r>
              <w:t>有项目实施路线、项目执行组织措施、项目执行保障措施等、针对本项目投入了一定的人员，实施组织方案一般</w:t>
            </w:r>
            <w:r>
              <w:rPr>
                <w:rFonts w:hint="eastAsia"/>
              </w:rPr>
              <w:t>；得</w:t>
            </w:r>
            <w:r>
              <w:rPr>
                <w:rFonts w:hint="eastAsia"/>
                <w:lang w:val="en-US" w:eastAsia="zh-CN"/>
              </w:rPr>
              <w:t>1-3</w:t>
            </w:r>
            <w:r>
              <w:t>分</w:t>
            </w:r>
            <w:r>
              <w:rPr>
                <w:rFonts w:hint="eastAsia"/>
              </w:rPr>
              <w:t>。</w:t>
            </w:r>
          </w:p>
          <w:p>
            <w:pPr>
              <w:pStyle w:val="2"/>
              <w:ind w:left="0" w:leftChars="0" w:firstLine="0" w:firstLineChars="0"/>
              <w:jc w:val="both"/>
            </w:pPr>
            <w:r>
              <w:rPr>
                <w:rFonts w:hint="eastAsia" w:ascii="等线" w:hAnsi="等线" w:eastAsia="等线" w:cs="Times New Roman"/>
                <w:kern w:val="2"/>
                <w:sz w:val="21"/>
                <w:szCs w:val="22"/>
                <w:lang w:val="en-US" w:eastAsia="zh-CN" w:bidi="ar-SA"/>
              </w:rPr>
              <w:t>4、没有方案不得分。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1266" w:type="dxa"/>
            <w:vMerge w:val="continue"/>
            <w:tcBorders>
              <w:left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服务方案</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7</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rPr>
            </w:pPr>
            <w:r>
              <w:rPr>
                <w:rFonts w:hint="eastAsia"/>
                <w:lang w:val="en-US" w:eastAsia="zh-CN"/>
              </w:rPr>
              <w:t>1</w:t>
            </w:r>
            <w:r>
              <w:rPr>
                <w:rFonts w:hint="eastAsia"/>
              </w:rPr>
              <w:t>、提供有服务方案，方案包含有项目售后维护、应急保障方案、保密承诺及廉洁承诺等，且描述了项目售后维护和应急保障方案的方法以及实现方式 ，售后服务机构及联系人、技术人员名单等资料详细，服务承诺和保障措施考虑周全完整详细；得</w:t>
            </w:r>
            <w:r>
              <w:rPr>
                <w:rFonts w:hint="eastAsia"/>
                <w:lang w:val="en-US" w:eastAsia="zh-CN"/>
              </w:rPr>
              <w:t>7</w:t>
            </w:r>
            <w:r>
              <w:rPr>
                <w:rFonts w:hint="eastAsia"/>
              </w:rPr>
              <w:t>分。</w:t>
            </w:r>
          </w:p>
          <w:p>
            <w:pPr>
              <w:widowControl/>
              <w:jc w:val="left"/>
            </w:pPr>
            <w:r>
              <w:rPr>
                <w:rFonts w:hint="eastAsia"/>
              </w:rPr>
              <w:t>2、提供有服务方案，方案包含有项目售后维护、应急保障方案、保密承诺及廉洁承诺等，且描述了项目售后维护和应急保障方案的方法以及实现方式，方案可行较详细；得</w:t>
            </w:r>
            <w:r>
              <w:rPr>
                <w:rFonts w:hint="eastAsia"/>
                <w:lang w:val="en-US" w:eastAsia="zh-CN"/>
              </w:rPr>
              <w:t>4</w:t>
            </w:r>
            <w:r>
              <w:rPr>
                <w:rFonts w:hint="eastAsia"/>
              </w:rPr>
              <w:t>-</w:t>
            </w:r>
            <w:r>
              <w:rPr>
                <w:rFonts w:hint="eastAsia"/>
                <w:lang w:val="en-US" w:eastAsia="zh-CN"/>
              </w:rPr>
              <w:t>6</w:t>
            </w:r>
            <w:r>
              <w:rPr>
                <w:rFonts w:hint="eastAsia"/>
              </w:rPr>
              <w:t>分。</w:t>
            </w:r>
          </w:p>
          <w:p>
            <w:pPr>
              <w:widowControl/>
              <w:jc w:val="left"/>
              <w:rPr>
                <w:rFonts w:hint="eastAsia"/>
              </w:rPr>
            </w:pPr>
            <w:r>
              <w:rPr>
                <w:rFonts w:hint="eastAsia"/>
                <w:lang w:val="en-US" w:eastAsia="zh-CN"/>
              </w:rPr>
              <w:t>3</w:t>
            </w:r>
            <w:r>
              <w:rPr>
                <w:rFonts w:hint="eastAsia"/>
              </w:rPr>
              <w:t>、提供有服务方案，方案包含有项目售后维护和应急保障方案，且方案可行；得</w:t>
            </w:r>
            <w:r>
              <w:rPr>
                <w:rFonts w:hint="eastAsia"/>
                <w:lang w:val="en-US" w:eastAsia="zh-CN"/>
              </w:rPr>
              <w:t>1</w:t>
            </w:r>
            <w:r>
              <w:rPr>
                <w:rFonts w:hint="eastAsia"/>
              </w:rPr>
              <w:t>-</w:t>
            </w:r>
            <w:r>
              <w:rPr>
                <w:rFonts w:hint="eastAsia"/>
                <w:lang w:val="en-US" w:eastAsia="zh-CN"/>
              </w:rPr>
              <w:t>3</w:t>
            </w:r>
            <w:r>
              <w:rPr>
                <w:rFonts w:hint="eastAsia"/>
              </w:rPr>
              <w:t>分。</w:t>
            </w:r>
          </w:p>
          <w:p>
            <w:pPr>
              <w:widowControl/>
              <w:jc w:val="left"/>
            </w:pPr>
            <w:r>
              <w:rPr>
                <w:rFonts w:hint="eastAsia"/>
                <w:lang w:val="en-US" w:eastAsia="zh-CN"/>
              </w:rPr>
              <w:t>4、没有方案不得分。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1266" w:type="dxa"/>
            <w:vMerge w:val="continue"/>
            <w:tcBorders>
              <w:left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网站监测报告</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6</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lang w:eastAsia="zh-Hans"/>
              </w:rPr>
            </w:pPr>
            <w:r>
              <w:rPr>
                <w:rFonts w:hint="eastAsia"/>
                <w:lang w:val="en-US" w:eastAsia="zh-CN"/>
              </w:rPr>
              <w:t>1</w:t>
            </w:r>
            <w:r>
              <w:rPr>
                <w:rFonts w:hint="eastAsia"/>
              </w:rPr>
              <w:t>、《网站监测报告》</w:t>
            </w:r>
            <w:r>
              <w:rPr>
                <w:rFonts w:hint="eastAsia"/>
                <w:lang w:eastAsia="zh-Hans"/>
              </w:rPr>
              <w:t>样式多样，满足各级用户实用性需求，报告</w:t>
            </w:r>
            <w:r>
              <w:rPr>
                <w:rFonts w:hint="eastAsia"/>
              </w:rPr>
              <w:t>内容</w:t>
            </w:r>
            <w:r>
              <w:rPr>
                <w:rFonts w:hint="eastAsia"/>
                <w:lang w:eastAsia="zh-Hans"/>
              </w:rPr>
              <w:t>设计新颖、</w:t>
            </w:r>
            <w:r>
              <w:rPr>
                <w:rFonts w:hint="eastAsia"/>
              </w:rPr>
              <w:t>全面，</w:t>
            </w:r>
            <w:r>
              <w:rPr>
                <w:rFonts w:hint="eastAsia"/>
                <w:lang w:eastAsia="zh-Hans"/>
              </w:rPr>
              <w:t>监测</w:t>
            </w:r>
            <w:r>
              <w:rPr>
                <w:rFonts w:hint="eastAsia"/>
              </w:rPr>
              <w:t>指标</w:t>
            </w:r>
            <w:r>
              <w:rPr>
                <w:rFonts w:hint="eastAsia"/>
                <w:lang w:eastAsia="zh-Hans"/>
              </w:rPr>
              <w:t>可一一对应</w:t>
            </w:r>
            <w:r>
              <w:rPr>
                <w:rFonts w:hint="eastAsia"/>
              </w:rPr>
              <w:t>，</w:t>
            </w:r>
            <w:r>
              <w:rPr>
                <w:rFonts w:hint="eastAsia"/>
                <w:lang w:eastAsia="zh-Hans"/>
              </w:rPr>
              <w:t>截图、定位、问题描述等功能齐全，得</w:t>
            </w:r>
            <w:r>
              <w:rPr>
                <w:rFonts w:hint="eastAsia"/>
                <w:lang w:val="en-US" w:eastAsia="zh-CN"/>
              </w:rPr>
              <w:t>6</w:t>
            </w:r>
            <w:r>
              <w:rPr>
                <w:rFonts w:hint="eastAsia"/>
                <w:lang w:eastAsia="zh-Hans"/>
              </w:rPr>
              <w:t>分。</w:t>
            </w:r>
          </w:p>
          <w:p>
            <w:pPr>
              <w:widowControl/>
              <w:jc w:val="left"/>
              <w:rPr>
                <w:rFonts w:hint="eastAsia"/>
                <w:lang w:eastAsia="zh-Hans"/>
              </w:rPr>
            </w:pPr>
            <w:r>
              <w:rPr>
                <w:rFonts w:hint="eastAsia"/>
                <w:lang w:eastAsia="zh-Hans"/>
              </w:rPr>
              <w:t>2、提供</w:t>
            </w:r>
            <w:r>
              <w:rPr>
                <w:rFonts w:hint="eastAsia"/>
              </w:rPr>
              <w:t>《网站监测报告》</w:t>
            </w:r>
            <w:r>
              <w:rPr>
                <w:rFonts w:hint="eastAsia"/>
                <w:lang w:eastAsia="zh-Hans"/>
              </w:rPr>
              <w:t>样式，内容设计全面</w:t>
            </w:r>
            <w:r>
              <w:rPr>
                <w:rFonts w:hint="eastAsia"/>
              </w:rPr>
              <w:t>。</w:t>
            </w:r>
            <w:r>
              <w:rPr>
                <w:rFonts w:hint="eastAsia"/>
                <w:lang w:eastAsia="zh-Hans"/>
              </w:rPr>
              <w:t>监测指标可对应，得</w:t>
            </w:r>
            <w:r>
              <w:rPr>
                <w:rFonts w:hint="eastAsia"/>
                <w:lang w:val="en-US" w:eastAsia="zh-CN"/>
              </w:rPr>
              <w:t>4</w:t>
            </w:r>
            <w:r>
              <w:rPr>
                <w:rFonts w:hint="eastAsia"/>
                <w:lang w:eastAsia="zh-Hans"/>
              </w:rPr>
              <w:t>-</w:t>
            </w:r>
            <w:r>
              <w:rPr>
                <w:rFonts w:hint="eastAsia"/>
                <w:lang w:val="en-US" w:eastAsia="zh-CN"/>
              </w:rPr>
              <w:t>5</w:t>
            </w:r>
            <w:r>
              <w:rPr>
                <w:rFonts w:hint="eastAsia"/>
                <w:lang w:eastAsia="zh-Hans"/>
              </w:rPr>
              <w:t>分。</w:t>
            </w:r>
          </w:p>
          <w:p>
            <w:pPr>
              <w:widowControl/>
              <w:jc w:val="left"/>
              <w:rPr>
                <w:rFonts w:hint="eastAsia"/>
                <w:lang w:eastAsia="zh-Hans"/>
              </w:rPr>
            </w:pPr>
            <w:r>
              <w:rPr>
                <w:rFonts w:hint="eastAsia"/>
                <w:lang w:val="en-US" w:eastAsia="zh-CN"/>
              </w:rPr>
              <w:t>3</w:t>
            </w:r>
            <w:r>
              <w:rPr>
                <w:rFonts w:hint="eastAsia"/>
                <w:lang w:eastAsia="zh-Hans"/>
              </w:rPr>
              <w:t>、提供</w:t>
            </w:r>
            <w:r>
              <w:rPr>
                <w:rFonts w:hint="eastAsia"/>
              </w:rPr>
              <w:t>《网站监测报告》</w:t>
            </w:r>
            <w:r>
              <w:rPr>
                <w:rFonts w:hint="eastAsia"/>
                <w:lang w:eastAsia="zh-Hans"/>
              </w:rPr>
              <w:t>样式，内容设计合理，得</w:t>
            </w:r>
            <w:r>
              <w:rPr>
                <w:rFonts w:hint="eastAsia"/>
                <w:lang w:val="en-US" w:eastAsia="zh-CN"/>
              </w:rPr>
              <w:t>1</w:t>
            </w:r>
            <w:r>
              <w:rPr>
                <w:rFonts w:hint="eastAsia"/>
                <w:lang w:eastAsia="zh-Hans"/>
              </w:rPr>
              <w:t>-</w:t>
            </w:r>
            <w:r>
              <w:rPr>
                <w:rFonts w:hint="eastAsia"/>
                <w:lang w:val="en-US" w:eastAsia="zh-CN"/>
              </w:rPr>
              <w:t>3</w:t>
            </w:r>
            <w:r>
              <w:rPr>
                <w:rFonts w:hint="eastAsia"/>
                <w:lang w:eastAsia="zh-Hans"/>
              </w:rPr>
              <w:t>分</w:t>
            </w:r>
          </w:p>
          <w:p>
            <w:pPr>
              <w:widowControl/>
              <w:jc w:val="left"/>
            </w:pPr>
            <w:r>
              <w:rPr>
                <w:rFonts w:hint="eastAsia"/>
                <w:lang w:val="en-US" w:eastAsia="zh-CN"/>
              </w:rPr>
              <w:t>4、没有方案不得分。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266" w:type="dxa"/>
            <w:vMerge w:val="continue"/>
            <w:tcBorders>
              <w:left w:val="single" w:color="auto" w:sz="8" w:space="0"/>
              <w:bottom w:val="single" w:color="auto" w:sz="8" w:space="0"/>
              <w:right w:val="single" w:color="auto" w:sz="8" w:space="0"/>
            </w:tcBorders>
            <w:vAlign w:val="center"/>
          </w:tcPr>
          <w:p>
            <w:pPr>
              <w:widowControl/>
              <w:jc w:val="left"/>
              <w:rPr>
                <w:rFonts w:ascii="宋体" w:hAnsi="宋体" w:eastAsia="宋体" w:cs="黑体"/>
                <w:color w:val="000000" w:themeColor="text1"/>
                <w:kern w:val="0"/>
                <w:sz w:val="24"/>
                <w:szCs w:val="24"/>
                <w14:textFill>
                  <w14:solidFill>
                    <w14:schemeClr w14:val="tx1"/>
                  </w14:solidFill>
                </w14:textFill>
              </w:rPr>
            </w:pPr>
          </w:p>
        </w:tc>
        <w:tc>
          <w:tcPr>
            <w:tcW w:w="141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项目团队</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ascii="宋体" w:hAnsi="宋体" w:eastAsia="宋体" w:cs="黑体"/>
                <w:color w:val="000000" w:themeColor="text1"/>
                <w:kern w:val="0"/>
                <w:sz w:val="24"/>
                <w:szCs w:val="24"/>
                <w14:textFill>
                  <w14:solidFill>
                    <w14:schemeClr w14:val="tx1"/>
                  </w14:solidFill>
                </w14:textFill>
              </w:rPr>
              <w:t>15</w:t>
            </w:r>
          </w:p>
        </w:tc>
        <w:tc>
          <w:tcPr>
            <w:tcW w:w="5670"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lang w:eastAsia="zh-Hans"/>
              </w:rPr>
            </w:pPr>
            <w:r>
              <w:rPr>
                <w:rFonts w:hint="eastAsia"/>
                <w:lang w:eastAsia="zh-Hans"/>
              </w:rPr>
              <w:t>投标供应商根据项目要求，须组建不少于6人的服务团队提供测评服务（提供名单），其中：</w:t>
            </w:r>
          </w:p>
          <w:p>
            <w:pPr>
              <w:widowControl/>
              <w:jc w:val="left"/>
              <w:rPr>
                <w:rFonts w:hint="default" w:eastAsia="等线"/>
                <w:lang w:val="en-US" w:eastAsia="zh-CN"/>
              </w:rPr>
            </w:pPr>
            <w:r>
              <w:rPr>
                <w:rFonts w:hint="eastAsia"/>
                <w:lang w:eastAsia="zh-Hans"/>
              </w:rPr>
              <w:t>项目经理必须同时具有IT服务项目经理证书、注册信息安全工程师(CISP)证书和高级程序员证书，得5分</w:t>
            </w:r>
            <w:r>
              <w:rPr>
                <w:rFonts w:hint="eastAsia"/>
                <w:lang w:eastAsia="zh-CN"/>
              </w:rPr>
              <w:t>；</w:t>
            </w:r>
            <w:r>
              <w:rPr>
                <w:rFonts w:hint="eastAsia"/>
                <w:lang w:val="en-US" w:eastAsia="zh-CN"/>
              </w:rPr>
              <w:t>不同时具有不得分。</w:t>
            </w:r>
          </w:p>
          <w:p>
            <w:pPr>
              <w:widowControl/>
              <w:jc w:val="left"/>
              <w:rPr>
                <w:rFonts w:hint="eastAsia" w:eastAsia="等线"/>
                <w:lang w:eastAsia="zh-CN"/>
              </w:rPr>
            </w:pPr>
            <w:r>
              <w:rPr>
                <w:rFonts w:hint="eastAsia"/>
                <w:lang w:eastAsia="zh-Hans"/>
              </w:rPr>
              <w:t>项目组成员具有软件评测师证书，得2分</w:t>
            </w:r>
            <w:r>
              <w:rPr>
                <w:rFonts w:hint="eastAsia"/>
                <w:lang w:eastAsia="zh-CN"/>
              </w:rPr>
              <w:t>；</w:t>
            </w:r>
            <w:r>
              <w:rPr>
                <w:rFonts w:hint="eastAsia"/>
                <w:lang w:eastAsia="zh-Hans"/>
              </w:rPr>
              <w:t>项目组成员具有信息系统监理师证书得2分</w:t>
            </w:r>
            <w:r>
              <w:rPr>
                <w:rFonts w:hint="eastAsia"/>
                <w:lang w:eastAsia="zh-CN"/>
              </w:rPr>
              <w:t>。</w:t>
            </w:r>
          </w:p>
          <w:p>
            <w:pPr>
              <w:widowControl/>
              <w:jc w:val="left"/>
              <w:rPr>
                <w:rFonts w:hint="eastAsia"/>
                <w:lang w:eastAsia="zh-Hans"/>
              </w:rPr>
            </w:pPr>
            <w:r>
              <w:rPr>
                <w:rFonts w:hint="eastAsia"/>
                <w:lang w:eastAsia="zh-Hans"/>
              </w:rPr>
              <w:t>项目组成员具有 IT 服务工程师证书，有1个得2分，最多得6分。</w:t>
            </w:r>
          </w:p>
          <w:p>
            <w:pPr>
              <w:widowControl/>
              <w:jc w:val="left"/>
              <w:rPr>
                <w:rFonts w:ascii="宋体" w:hAnsi="宋体" w:eastAsia="宋体" w:cs="黑体"/>
                <w:color w:val="000000" w:themeColor="text1"/>
                <w:kern w:val="0"/>
                <w:sz w:val="24"/>
                <w:szCs w:val="24"/>
                <w14:textFill>
                  <w14:solidFill>
                    <w14:schemeClr w14:val="tx1"/>
                  </w14:solidFill>
                </w14:textFill>
              </w:rPr>
            </w:pPr>
            <w:r>
              <w:rPr>
                <w:rFonts w:hint="eastAsia"/>
                <w:lang w:eastAsia="zh-Hans"/>
              </w:rPr>
              <w:t>（以上人员需提供近3个月内任意一个月的社保缴纳证明</w:t>
            </w:r>
            <w:r>
              <w:rPr>
                <w:rFonts w:hint="eastAsia"/>
                <w:lang w:val="en-US" w:eastAsia="zh-CN"/>
              </w:rPr>
              <w:t>并加盖单位公章</w:t>
            </w:r>
            <w:r>
              <w:rPr>
                <w:rFonts w:hint="eastAsia"/>
                <w:lang w:eastAsia="zh-Hans"/>
              </w:rPr>
              <w:t>，</w:t>
            </w:r>
            <w:r>
              <w:rPr>
                <w:rFonts w:hint="eastAsia"/>
                <w:lang w:val="en-US" w:eastAsia="zh-CN"/>
              </w:rPr>
              <w:t>提供相关</w:t>
            </w:r>
            <w:r>
              <w:rPr>
                <w:rFonts w:hint="eastAsia"/>
                <w:lang w:eastAsia="zh-Hans"/>
              </w:rPr>
              <w:t>证书复印件</w:t>
            </w:r>
            <w:r>
              <w:rPr>
                <w:rFonts w:hint="eastAsia"/>
                <w:lang w:val="en-US" w:eastAsia="zh-CN"/>
              </w:rPr>
              <w:t>并加盖单位公章</w:t>
            </w:r>
            <w:r>
              <w:rPr>
                <w:rFonts w:hint="eastAsia"/>
                <w:lang w:eastAsia="zh-Hans"/>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68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b/>
                <w:bCs/>
                <w:color w:val="000000" w:themeColor="text1"/>
                <w:kern w:val="0"/>
                <w:sz w:val="24"/>
                <w:szCs w:val="24"/>
                <w14:textFill>
                  <w14:solidFill>
                    <w14:schemeClr w14:val="tx1"/>
                  </w14:solidFill>
                </w14:textFill>
              </w:rPr>
            </w:pPr>
            <w:r>
              <w:rPr>
                <w:rFonts w:hint="eastAsia" w:ascii="宋体" w:hAnsi="宋体" w:eastAsia="宋体" w:cs="黑体"/>
                <w:b/>
                <w:bCs/>
                <w:color w:val="000000" w:themeColor="text1"/>
                <w:kern w:val="0"/>
                <w:sz w:val="24"/>
                <w:szCs w:val="24"/>
                <w14:textFill>
                  <w14:solidFill>
                    <w14:schemeClr w14:val="tx1"/>
                  </w14:solidFill>
                </w14:textFill>
              </w:rPr>
              <w:t>合计</w:t>
            </w:r>
          </w:p>
        </w:tc>
        <w:tc>
          <w:tcPr>
            <w:tcW w:w="70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100</w:t>
            </w:r>
          </w:p>
        </w:tc>
        <w:tc>
          <w:tcPr>
            <w:tcW w:w="5670" w:type="dxa"/>
            <w:tcBorders>
              <w:top w:val="single" w:color="auto" w:sz="8" w:space="0"/>
              <w:left w:val="single" w:color="auto" w:sz="8" w:space="0"/>
              <w:bottom w:val="single" w:color="auto" w:sz="8" w:space="0"/>
              <w:right w:val="single" w:color="auto" w:sz="8" w:space="0"/>
            </w:tcBorders>
            <w:vAlign w:val="bottom"/>
          </w:tcPr>
          <w:p>
            <w:pPr>
              <w:widowControl/>
              <w:jc w:val="center"/>
              <w:rPr>
                <w:rFonts w:ascii="宋体" w:hAnsi="宋体" w:eastAsia="宋体" w:cs="黑体"/>
                <w:color w:val="000000" w:themeColor="text1"/>
                <w:kern w:val="0"/>
                <w:sz w:val="24"/>
                <w:szCs w:val="24"/>
                <w14:textFill>
                  <w14:solidFill>
                    <w14:schemeClr w14:val="tx1"/>
                  </w14:solidFill>
                </w14:textFill>
              </w:rPr>
            </w:pPr>
          </w:p>
        </w:tc>
      </w:tr>
    </w:tbl>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pacing w:line="320" w:lineRule="exac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pStyle w:val="2"/>
        <w:rPr>
          <w:color w:val="000000" w:themeColor="text1"/>
          <w:lang w:val="en-US"/>
          <w14:textFill>
            <w14:solidFill>
              <w14:schemeClr w14:val="tx1"/>
            </w14:solidFill>
          </w14:textFill>
        </w:rPr>
      </w:pPr>
    </w:p>
    <w:p>
      <w:pPr>
        <w:outlineLvl w:val="1"/>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rPr>
          <w:rFonts w:eastAsia="黑体"/>
          <w:bCs/>
          <w:color w:val="000000" w:themeColor="text1"/>
          <w:sz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rPr>
          <w:rFonts w:ascii="Times New Roman" w:hAnsi="Times New Roman" w:eastAsia="黑体"/>
          <w:bCs/>
          <w:color w:val="000000" w:themeColor="text1"/>
          <w:sz w:val="24"/>
          <w:szCs w:val="24"/>
          <w14:textFill>
            <w14:solidFill>
              <w14:schemeClr w14:val="tx1"/>
            </w14:solidFill>
          </w14:textFill>
        </w:rPr>
      </w:pPr>
    </w:p>
    <w:p>
      <w:pPr>
        <w:pStyle w:val="2"/>
      </w:pPr>
    </w:p>
    <w:p>
      <w:pPr>
        <w:outlineLvl w:val="1"/>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采购项目名称：2023年泰州市政府网站群季度监测服务</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w:t>
      </w:r>
      <w:r>
        <w:rPr>
          <w:rFonts w:ascii="Times New Roman" w:hAnsi="Times New Roman" w:eastAsia="黑体"/>
          <w:bCs/>
          <w:color w:val="000000" w:themeColor="text1"/>
          <w:sz w:val="36"/>
          <w:szCs w:val="36"/>
          <w14:textFill>
            <w14:solidFill>
              <w14:schemeClr w14:val="tx1"/>
            </w14:solidFill>
          </w14:textFill>
        </w:rPr>
        <w:t>2</w:t>
      </w:r>
      <w:r>
        <w:rPr>
          <w:rFonts w:hint="eastAsia" w:ascii="Times New Roman" w:hAnsi="Times New Roman" w:eastAsia="黑体"/>
          <w:bCs/>
          <w:color w:val="000000" w:themeColor="text1"/>
          <w:sz w:val="36"/>
          <w:szCs w:val="36"/>
          <w14:textFill>
            <w14:solidFill>
              <w14:schemeClr w14:val="tx1"/>
            </w14:solidFill>
          </w14:textFill>
        </w:rPr>
        <w:t>3年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9"/>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9"/>
        </w:numPr>
        <w:tabs>
          <w:tab w:val="left" w:pos="0"/>
          <w:tab w:val="left" w:pos="315"/>
          <w:tab w:val="left" w:pos="525"/>
          <w:tab w:val="left" w:pos="840"/>
          <w:tab w:val="left" w:pos="945"/>
          <w:tab w:val="left" w:pos="1050"/>
        </w:tabs>
        <w:spacing w:line="360" w:lineRule="auto"/>
        <w:ind w:left="0" w:firstLine="523" w:firstLineChars="218"/>
        <w:rPr>
          <w:rStyle w:val="10"/>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9"/>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9"/>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9"/>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9"/>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9"/>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9"/>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1"/>
        <w:rPr>
          <w:rFonts w:ascii="黑体" w:hAnsi="黑体" w:eastAsia="黑体" w:cs="黑体"/>
          <w:bCs/>
          <w:color w:val="000000" w:themeColor="text1"/>
          <w:sz w:val="28"/>
          <w:szCs w:val="28"/>
          <w14:textFill>
            <w14:solidFill>
              <w14:schemeClr w14:val="tx1"/>
            </w14:solidFill>
          </w14:textFill>
        </w:rPr>
      </w:pPr>
      <w:bookmarkStart w:id="9"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ascii="黑体" w:hAnsi="黑体" w:eastAsia="黑体" w:cs="黑体"/>
          <w:bCs/>
          <w:color w:val="000000" w:themeColor="text1"/>
          <w:sz w:val="36"/>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r>
        <w:rPr>
          <w:rFonts w:ascii="黑体" w:hAnsi="黑体" w:eastAsia="黑体" w:cs="黑体"/>
          <w:bCs/>
          <w:color w:val="000000" w:themeColor="text1"/>
          <w:sz w:val="24"/>
          <w:szCs w:val="24"/>
          <w14:textFill>
            <w14:solidFill>
              <w14:schemeClr w14:val="tx1"/>
            </w14:solidFill>
          </w14:textFill>
        </w:rPr>
        <w:t>XXX</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1"/>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对本项目（XXX）所提供的货物均为原厂全新合格品；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fldChar w:fldCharType="begin"/>
      </w:r>
      <w:r>
        <w:instrText xml:space="preserve"> HYPERLINK "http://www.creditchina.gov.cn" </w:instrText>
      </w:r>
      <w:r>
        <w:fldChar w:fldCharType="separate"/>
      </w:r>
      <w:r>
        <w:rPr>
          <w:rStyle w:val="11"/>
          <w:rFonts w:hint="eastAsia" w:ascii="黑体" w:hAnsi="黑体" w:eastAsia="黑体" w:cs="黑体"/>
          <w:bCs/>
          <w:color w:val="000000" w:themeColor="text1"/>
          <w:sz w:val="24"/>
          <w:szCs w:val="24"/>
          <w14:textFill>
            <w14:solidFill>
              <w14:schemeClr w14:val="tx1"/>
            </w14:solidFill>
          </w14:textFill>
        </w:rPr>
        <w:t>www.creditchina.gov.cn</w:t>
      </w:r>
      <w:r>
        <w:rPr>
          <w:rStyle w:val="11"/>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rPr>
          <w:rFonts w:ascii="黑体" w:hAnsi="黑体" w:eastAsia="黑体" w:cs="黑体"/>
          <w:bCs/>
          <w:color w:val="000000" w:themeColor="text1"/>
          <w:sz w:val="28"/>
          <w:szCs w:val="28"/>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7"/>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2"/>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2023年泰州市政府网站群季度监测服务</w:t>
            </w:r>
          </w:p>
        </w:tc>
        <w:tc>
          <w:tcPr>
            <w:tcW w:w="4515" w:type="dxa"/>
            <w:tcBorders>
              <w:top w:val="single" w:color="auto" w:sz="4" w:space="0"/>
              <w:left w:val="single" w:color="auto" w:sz="4" w:space="0"/>
              <w:bottom w:val="single" w:color="auto" w:sz="4" w:space="0"/>
              <w:right w:val="single" w:color="auto" w:sz="4" w:space="0"/>
            </w:tcBorders>
            <w:vAlign w:val="center"/>
          </w:tcPr>
          <w:p>
            <w:pPr>
              <w:pStyle w:val="12"/>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rPr>
          <w:rFonts w:ascii="黑体" w:hAnsi="黑体" w:eastAsia="黑体" w:cs="黑体"/>
          <w:bCs/>
          <w:color w:val="000000" w:themeColor="text1"/>
          <w:sz w:val="28"/>
          <w:szCs w:val="28"/>
          <w14:textFill>
            <w14:solidFill>
              <w14:schemeClr w14:val="tx1"/>
            </w14:solidFill>
          </w14:textFill>
        </w:rPr>
      </w:pPr>
      <w:bookmarkStart w:id="18" w:name="_Toc534555672"/>
    </w:p>
    <w:p>
      <w:pPr>
        <w:spacing w:line="400" w:lineRule="exact"/>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7"/>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846"/>
        <w:gridCol w:w="146"/>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5240"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4540"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rPr>
          <w:rFonts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1"/>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（八）采购需求响应表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7"/>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rPr>
          <w:rFonts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rPr>
          <w:rFonts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rPr>
          <w:rFonts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3D28C1"/>
    <w:multiLevelType w:val="singleLevel"/>
    <w:tmpl w:val="D93D28C1"/>
    <w:lvl w:ilvl="0" w:tentative="0">
      <w:start w:val="5"/>
      <w:numFmt w:val="decimal"/>
      <w:suff w:val="nothing"/>
      <w:lvlText w:val="（%1）"/>
      <w:lvlJc w:val="left"/>
    </w:lvl>
  </w:abstractNum>
  <w:abstractNum w:abstractNumId="1">
    <w:nsid w:val="004D4892"/>
    <w:multiLevelType w:val="singleLevel"/>
    <w:tmpl w:val="004D4892"/>
    <w:lvl w:ilvl="0" w:tentative="0">
      <w:start w:val="1"/>
      <w:numFmt w:val="decimal"/>
      <w:lvlText w:val="%1."/>
      <w:lvlJc w:val="left"/>
      <w:pPr>
        <w:tabs>
          <w:tab w:val="left" w:pos="312"/>
        </w:tabs>
      </w:pPr>
    </w:lvl>
  </w:abstractNum>
  <w:abstractNum w:abstractNumId="2">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48C4546"/>
    <w:multiLevelType w:val="singleLevel"/>
    <w:tmpl w:val="248C4546"/>
    <w:lvl w:ilvl="0" w:tentative="0">
      <w:start w:val="1"/>
      <w:numFmt w:val="decimal"/>
      <w:lvlText w:val="%1."/>
      <w:lvlJc w:val="left"/>
      <w:pPr>
        <w:tabs>
          <w:tab w:val="left" w:pos="312"/>
        </w:tabs>
      </w:pPr>
    </w:lvl>
  </w:abstractNum>
  <w:abstractNum w:abstractNumId="4">
    <w:nsid w:val="41121506"/>
    <w:multiLevelType w:val="singleLevel"/>
    <w:tmpl w:val="41121506"/>
    <w:lvl w:ilvl="0" w:tentative="0">
      <w:start w:val="1"/>
      <w:numFmt w:val="decimal"/>
      <w:lvlText w:val="%1."/>
      <w:lvlJc w:val="left"/>
      <w:pPr>
        <w:tabs>
          <w:tab w:val="left" w:pos="312"/>
        </w:tabs>
      </w:pPr>
    </w:lvl>
  </w:abstractNum>
  <w:abstractNum w:abstractNumId="5">
    <w:nsid w:val="5C987071"/>
    <w:multiLevelType w:val="singleLevel"/>
    <w:tmpl w:val="5C987071"/>
    <w:lvl w:ilvl="0" w:tentative="0">
      <w:start w:val="1"/>
      <w:numFmt w:val="decimal"/>
      <w:lvlText w:val="%1."/>
      <w:lvlJc w:val="left"/>
      <w:pPr>
        <w:tabs>
          <w:tab w:val="left" w:pos="312"/>
        </w:tabs>
      </w:pPr>
    </w:lvl>
  </w:abstractNum>
  <w:abstractNum w:abstractNumId="6">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160B48"/>
    <w:multiLevelType w:val="singleLevel"/>
    <w:tmpl w:val="72160B48"/>
    <w:lvl w:ilvl="0" w:tentative="0">
      <w:start w:val="1"/>
      <w:numFmt w:val="decimal"/>
      <w:suff w:val="nothing"/>
      <w:lvlText w:val="%1．"/>
      <w:lvlJc w:val="left"/>
    </w:lvl>
  </w:abstractNum>
  <w:abstractNum w:abstractNumId="8">
    <w:nsid w:val="796E309B"/>
    <w:multiLevelType w:val="singleLevel"/>
    <w:tmpl w:val="796E309B"/>
    <w:lvl w:ilvl="0" w:tentative="0">
      <w:start w:val="1"/>
      <w:numFmt w:val="decimal"/>
      <w:suff w:val="nothing"/>
      <w:lvlText w:val="%1．"/>
      <w:lvlJc w:val="left"/>
    </w:lvl>
  </w:abstractNum>
  <w:num w:numId="1">
    <w:abstractNumId w:val="2"/>
  </w:num>
  <w:num w:numId="2">
    <w:abstractNumId w:val="1"/>
  </w:num>
  <w:num w:numId="3">
    <w:abstractNumId w:val="4"/>
  </w:num>
  <w:num w:numId="4">
    <w:abstractNumId w:val="7"/>
  </w:num>
  <w:num w:numId="5">
    <w:abstractNumId w:val="3"/>
  </w:num>
  <w:num w:numId="6">
    <w:abstractNumId w:val="8"/>
  </w:num>
  <w:num w:numId="7">
    <w:abstractNumId w:val="5"/>
  </w:num>
  <w:num w:numId="8">
    <w:abstractNumId w:val="0"/>
  </w:num>
  <w:num w:numId="9">
    <w:abstractNumId w:val="6"/>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xNmRhODIyNjBmOTI2ODNhOGY4ZjFlYzkxMTk2ODcifQ=="/>
  </w:docVars>
  <w:rsids>
    <w:rsidRoot w:val="2BAE7DC9"/>
    <w:rsid w:val="00044E47"/>
    <w:rsid w:val="000650FB"/>
    <w:rsid w:val="0011252B"/>
    <w:rsid w:val="00133387"/>
    <w:rsid w:val="00141EA5"/>
    <w:rsid w:val="00172BED"/>
    <w:rsid w:val="00204EB0"/>
    <w:rsid w:val="00232617"/>
    <w:rsid w:val="00292B47"/>
    <w:rsid w:val="002E14C6"/>
    <w:rsid w:val="00330DF8"/>
    <w:rsid w:val="003D138F"/>
    <w:rsid w:val="00475F91"/>
    <w:rsid w:val="004F5124"/>
    <w:rsid w:val="00763F98"/>
    <w:rsid w:val="007A778C"/>
    <w:rsid w:val="007E2EF7"/>
    <w:rsid w:val="00832B93"/>
    <w:rsid w:val="008A483A"/>
    <w:rsid w:val="008B3073"/>
    <w:rsid w:val="00972EE5"/>
    <w:rsid w:val="00A861BE"/>
    <w:rsid w:val="00AA3B88"/>
    <w:rsid w:val="00B44849"/>
    <w:rsid w:val="00BA17B4"/>
    <w:rsid w:val="00BB4BAD"/>
    <w:rsid w:val="00C42075"/>
    <w:rsid w:val="00D41ABF"/>
    <w:rsid w:val="010603B8"/>
    <w:rsid w:val="012375FA"/>
    <w:rsid w:val="01487061"/>
    <w:rsid w:val="01A47274"/>
    <w:rsid w:val="01B43460"/>
    <w:rsid w:val="01BA61B0"/>
    <w:rsid w:val="01DD6B8E"/>
    <w:rsid w:val="01FF774D"/>
    <w:rsid w:val="021C0046"/>
    <w:rsid w:val="02600065"/>
    <w:rsid w:val="02916808"/>
    <w:rsid w:val="02933CF1"/>
    <w:rsid w:val="029F7154"/>
    <w:rsid w:val="02AA088B"/>
    <w:rsid w:val="02D74B40"/>
    <w:rsid w:val="03532830"/>
    <w:rsid w:val="03741E07"/>
    <w:rsid w:val="038B57F0"/>
    <w:rsid w:val="038C6E0E"/>
    <w:rsid w:val="03913842"/>
    <w:rsid w:val="03C350C4"/>
    <w:rsid w:val="04610B65"/>
    <w:rsid w:val="04A24874"/>
    <w:rsid w:val="04E549D9"/>
    <w:rsid w:val="04F00CE2"/>
    <w:rsid w:val="05180BF9"/>
    <w:rsid w:val="05423654"/>
    <w:rsid w:val="055F2BCB"/>
    <w:rsid w:val="05BE41B0"/>
    <w:rsid w:val="061614DB"/>
    <w:rsid w:val="0653437F"/>
    <w:rsid w:val="06F60EEA"/>
    <w:rsid w:val="06FE3AD0"/>
    <w:rsid w:val="0717563C"/>
    <w:rsid w:val="07305D00"/>
    <w:rsid w:val="077B7867"/>
    <w:rsid w:val="07DC6755"/>
    <w:rsid w:val="08176F8E"/>
    <w:rsid w:val="08547E6E"/>
    <w:rsid w:val="08806BF3"/>
    <w:rsid w:val="088A442E"/>
    <w:rsid w:val="08BC37E6"/>
    <w:rsid w:val="08F9299B"/>
    <w:rsid w:val="09257BCC"/>
    <w:rsid w:val="094620D8"/>
    <w:rsid w:val="098C6266"/>
    <w:rsid w:val="09EB2527"/>
    <w:rsid w:val="09F3749B"/>
    <w:rsid w:val="0A6B1393"/>
    <w:rsid w:val="0A99092D"/>
    <w:rsid w:val="0ACC61C5"/>
    <w:rsid w:val="0B07436C"/>
    <w:rsid w:val="0B136931"/>
    <w:rsid w:val="0B30303F"/>
    <w:rsid w:val="0B317C40"/>
    <w:rsid w:val="0B6F669C"/>
    <w:rsid w:val="0BED6D00"/>
    <w:rsid w:val="0C0F52A2"/>
    <w:rsid w:val="0C1D2948"/>
    <w:rsid w:val="0C6C62F9"/>
    <w:rsid w:val="0CFF0F1B"/>
    <w:rsid w:val="0DC669D4"/>
    <w:rsid w:val="0DCA452C"/>
    <w:rsid w:val="0E09687B"/>
    <w:rsid w:val="0E53141C"/>
    <w:rsid w:val="0EA978B3"/>
    <w:rsid w:val="0EAB3E35"/>
    <w:rsid w:val="0EDF3D95"/>
    <w:rsid w:val="0F2774C7"/>
    <w:rsid w:val="0F3A4205"/>
    <w:rsid w:val="0F5336EF"/>
    <w:rsid w:val="0FD77F2D"/>
    <w:rsid w:val="0FE54F1B"/>
    <w:rsid w:val="0FF4037D"/>
    <w:rsid w:val="0FFF39C6"/>
    <w:rsid w:val="10035C53"/>
    <w:rsid w:val="10455129"/>
    <w:rsid w:val="10802373"/>
    <w:rsid w:val="10DD30C0"/>
    <w:rsid w:val="11321CCC"/>
    <w:rsid w:val="11496C09"/>
    <w:rsid w:val="116C28F7"/>
    <w:rsid w:val="1202426A"/>
    <w:rsid w:val="121A05A5"/>
    <w:rsid w:val="12352A26"/>
    <w:rsid w:val="1285104A"/>
    <w:rsid w:val="12961C7E"/>
    <w:rsid w:val="12D7480E"/>
    <w:rsid w:val="134753CA"/>
    <w:rsid w:val="13702B73"/>
    <w:rsid w:val="13A03FDE"/>
    <w:rsid w:val="13B16579"/>
    <w:rsid w:val="13D12903"/>
    <w:rsid w:val="13EE0BF5"/>
    <w:rsid w:val="13F76773"/>
    <w:rsid w:val="141D25CF"/>
    <w:rsid w:val="143407DB"/>
    <w:rsid w:val="14425B91"/>
    <w:rsid w:val="1514752E"/>
    <w:rsid w:val="152E1DCE"/>
    <w:rsid w:val="164646ED"/>
    <w:rsid w:val="1653052A"/>
    <w:rsid w:val="16973B64"/>
    <w:rsid w:val="177607DB"/>
    <w:rsid w:val="17DF4208"/>
    <w:rsid w:val="17E70F2A"/>
    <w:rsid w:val="182C1AE5"/>
    <w:rsid w:val="18381785"/>
    <w:rsid w:val="184A3F75"/>
    <w:rsid w:val="185145F5"/>
    <w:rsid w:val="187A755D"/>
    <w:rsid w:val="18831D69"/>
    <w:rsid w:val="188B1D38"/>
    <w:rsid w:val="18BC4164"/>
    <w:rsid w:val="18CD6858"/>
    <w:rsid w:val="18DB4B3E"/>
    <w:rsid w:val="194902DE"/>
    <w:rsid w:val="196E143D"/>
    <w:rsid w:val="196E54EF"/>
    <w:rsid w:val="199A1428"/>
    <w:rsid w:val="19AC70AA"/>
    <w:rsid w:val="19BA1A34"/>
    <w:rsid w:val="19D1529B"/>
    <w:rsid w:val="1A0A0EFF"/>
    <w:rsid w:val="1A4033B9"/>
    <w:rsid w:val="1A5C0D03"/>
    <w:rsid w:val="1A727520"/>
    <w:rsid w:val="1A9C424D"/>
    <w:rsid w:val="1B0F559D"/>
    <w:rsid w:val="1B7F6525"/>
    <w:rsid w:val="1BC44B51"/>
    <w:rsid w:val="1BC473FC"/>
    <w:rsid w:val="1BCC313F"/>
    <w:rsid w:val="1C2063A2"/>
    <w:rsid w:val="1C8E6AFB"/>
    <w:rsid w:val="1D122806"/>
    <w:rsid w:val="1D347041"/>
    <w:rsid w:val="1D3F17D1"/>
    <w:rsid w:val="1D970B80"/>
    <w:rsid w:val="1D9F21EE"/>
    <w:rsid w:val="1DA33B45"/>
    <w:rsid w:val="1DAD449C"/>
    <w:rsid w:val="1DD27F86"/>
    <w:rsid w:val="1DD41F50"/>
    <w:rsid w:val="1DE63A32"/>
    <w:rsid w:val="1DEC54EC"/>
    <w:rsid w:val="1E4A3FC0"/>
    <w:rsid w:val="1E4F3472"/>
    <w:rsid w:val="1EB7078B"/>
    <w:rsid w:val="1F001448"/>
    <w:rsid w:val="1F09438B"/>
    <w:rsid w:val="1F666BD8"/>
    <w:rsid w:val="20355085"/>
    <w:rsid w:val="20901FD7"/>
    <w:rsid w:val="20A27562"/>
    <w:rsid w:val="20AC7BD8"/>
    <w:rsid w:val="20BC230A"/>
    <w:rsid w:val="218D705C"/>
    <w:rsid w:val="21CC1459"/>
    <w:rsid w:val="21D8575E"/>
    <w:rsid w:val="2207096E"/>
    <w:rsid w:val="22486A69"/>
    <w:rsid w:val="224C47AB"/>
    <w:rsid w:val="2299783B"/>
    <w:rsid w:val="22BA120B"/>
    <w:rsid w:val="22BF31CF"/>
    <w:rsid w:val="22E84D8D"/>
    <w:rsid w:val="233A2407"/>
    <w:rsid w:val="2383154E"/>
    <w:rsid w:val="23860C42"/>
    <w:rsid w:val="239E5047"/>
    <w:rsid w:val="23BC3C16"/>
    <w:rsid w:val="23D94EDC"/>
    <w:rsid w:val="24845DF0"/>
    <w:rsid w:val="256A49D2"/>
    <w:rsid w:val="261C4494"/>
    <w:rsid w:val="26293F40"/>
    <w:rsid w:val="266A01AB"/>
    <w:rsid w:val="268A3AF4"/>
    <w:rsid w:val="26901106"/>
    <w:rsid w:val="26DF400F"/>
    <w:rsid w:val="274574A6"/>
    <w:rsid w:val="274640EA"/>
    <w:rsid w:val="27873B8F"/>
    <w:rsid w:val="27B84691"/>
    <w:rsid w:val="27C60B5C"/>
    <w:rsid w:val="27F85949"/>
    <w:rsid w:val="28013942"/>
    <w:rsid w:val="28136AB9"/>
    <w:rsid w:val="283E401C"/>
    <w:rsid w:val="28682FE3"/>
    <w:rsid w:val="291D0C4F"/>
    <w:rsid w:val="294E705B"/>
    <w:rsid w:val="29891E41"/>
    <w:rsid w:val="299B3862"/>
    <w:rsid w:val="29FD282F"/>
    <w:rsid w:val="2A124972"/>
    <w:rsid w:val="2A253741"/>
    <w:rsid w:val="2A617E81"/>
    <w:rsid w:val="2A8B1BE9"/>
    <w:rsid w:val="2AA7448F"/>
    <w:rsid w:val="2ABB4970"/>
    <w:rsid w:val="2AD96DF8"/>
    <w:rsid w:val="2AED0E83"/>
    <w:rsid w:val="2B0D0850"/>
    <w:rsid w:val="2B113A97"/>
    <w:rsid w:val="2B1E480B"/>
    <w:rsid w:val="2B2006FF"/>
    <w:rsid w:val="2B7E174D"/>
    <w:rsid w:val="2BAE7DC9"/>
    <w:rsid w:val="2BE53280"/>
    <w:rsid w:val="2C424529"/>
    <w:rsid w:val="2C5D2581"/>
    <w:rsid w:val="2CEC4BBA"/>
    <w:rsid w:val="2D001B1A"/>
    <w:rsid w:val="2D530423"/>
    <w:rsid w:val="2D5F08EF"/>
    <w:rsid w:val="2D6F31C0"/>
    <w:rsid w:val="2E093550"/>
    <w:rsid w:val="2EA342C1"/>
    <w:rsid w:val="2EA634DC"/>
    <w:rsid w:val="2EBD369F"/>
    <w:rsid w:val="2ED20AEB"/>
    <w:rsid w:val="2F5B602D"/>
    <w:rsid w:val="2FAA7085"/>
    <w:rsid w:val="301E1907"/>
    <w:rsid w:val="30240B15"/>
    <w:rsid w:val="30AC568D"/>
    <w:rsid w:val="30AD35D4"/>
    <w:rsid w:val="30C27406"/>
    <w:rsid w:val="30DA71DA"/>
    <w:rsid w:val="30E5758C"/>
    <w:rsid w:val="31097137"/>
    <w:rsid w:val="313461DC"/>
    <w:rsid w:val="313528AE"/>
    <w:rsid w:val="315C7ECA"/>
    <w:rsid w:val="3167733C"/>
    <w:rsid w:val="3173124F"/>
    <w:rsid w:val="31CA1248"/>
    <w:rsid w:val="31EE1FB8"/>
    <w:rsid w:val="31F86124"/>
    <w:rsid w:val="326A2A2B"/>
    <w:rsid w:val="32AC4DF2"/>
    <w:rsid w:val="32B81199"/>
    <w:rsid w:val="330C4BDB"/>
    <w:rsid w:val="339E2391"/>
    <w:rsid w:val="33A2516B"/>
    <w:rsid w:val="33A92693"/>
    <w:rsid w:val="33C63297"/>
    <w:rsid w:val="3420663B"/>
    <w:rsid w:val="342B6450"/>
    <w:rsid w:val="344A16FB"/>
    <w:rsid w:val="34C53F49"/>
    <w:rsid w:val="34E22D4D"/>
    <w:rsid w:val="35432EF2"/>
    <w:rsid w:val="3569358A"/>
    <w:rsid w:val="359E6C74"/>
    <w:rsid w:val="35CE72AF"/>
    <w:rsid w:val="361531EB"/>
    <w:rsid w:val="36462ACF"/>
    <w:rsid w:val="36767802"/>
    <w:rsid w:val="36CE44BD"/>
    <w:rsid w:val="3713385A"/>
    <w:rsid w:val="374F56CD"/>
    <w:rsid w:val="37585548"/>
    <w:rsid w:val="379239EA"/>
    <w:rsid w:val="37FC5A23"/>
    <w:rsid w:val="391E03F5"/>
    <w:rsid w:val="392C27E9"/>
    <w:rsid w:val="39316051"/>
    <w:rsid w:val="39CA2BC5"/>
    <w:rsid w:val="39FE23D7"/>
    <w:rsid w:val="3A2D6C50"/>
    <w:rsid w:val="3A766297"/>
    <w:rsid w:val="3AF86E26"/>
    <w:rsid w:val="3AFC42C0"/>
    <w:rsid w:val="3B2F16B7"/>
    <w:rsid w:val="3B64270E"/>
    <w:rsid w:val="3BA00212"/>
    <w:rsid w:val="3BB40C45"/>
    <w:rsid w:val="3BBB240E"/>
    <w:rsid w:val="3BC839CB"/>
    <w:rsid w:val="3BE42C77"/>
    <w:rsid w:val="3BFF5F92"/>
    <w:rsid w:val="3C4A1903"/>
    <w:rsid w:val="3C8F071A"/>
    <w:rsid w:val="3C940F04"/>
    <w:rsid w:val="3D1A67AD"/>
    <w:rsid w:val="3D1C245F"/>
    <w:rsid w:val="3D2D6B2F"/>
    <w:rsid w:val="3D4C14DA"/>
    <w:rsid w:val="3DAA67EA"/>
    <w:rsid w:val="3DAC37A6"/>
    <w:rsid w:val="3DFE4381"/>
    <w:rsid w:val="3E927592"/>
    <w:rsid w:val="3F2F723D"/>
    <w:rsid w:val="3F86126B"/>
    <w:rsid w:val="3F8805CA"/>
    <w:rsid w:val="3FAF7CCF"/>
    <w:rsid w:val="403A1C8F"/>
    <w:rsid w:val="4057639D"/>
    <w:rsid w:val="40C66D7C"/>
    <w:rsid w:val="40C87E01"/>
    <w:rsid w:val="40CD7D8B"/>
    <w:rsid w:val="40D03CF0"/>
    <w:rsid w:val="4162566B"/>
    <w:rsid w:val="417E5BAB"/>
    <w:rsid w:val="419569C9"/>
    <w:rsid w:val="41A3367B"/>
    <w:rsid w:val="41B93D8E"/>
    <w:rsid w:val="42E324BF"/>
    <w:rsid w:val="43095949"/>
    <w:rsid w:val="43374264"/>
    <w:rsid w:val="435272F0"/>
    <w:rsid w:val="43B32386"/>
    <w:rsid w:val="43FC0159"/>
    <w:rsid w:val="445A54A3"/>
    <w:rsid w:val="446E5ABA"/>
    <w:rsid w:val="448E27E0"/>
    <w:rsid w:val="44A010D3"/>
    <w:rsid w:val="44C63EF6"/>
    <w:rsid w:val="450F2F4D"/>
    <w:rsid w:val="455C02BA"/>
    <w:rsid w:val="45974534"/>
    <w:rsid w:val="460778FA"/>
    <w:rsid w:val="46157DE1"/>
    <w:rsid w:val="46390A32"/>
    <w:rsid w:val="46BB51AC"/>
    <w:rsid w:val="47BB36B5"/>
    <w:rsid w:val="47C17695"/>
    <w:rsid w:val="47E250E6"/>
    <w:rsid w:val="48142DC6"/>
    <w:rsid w:val="48254FD3"/>
    <w:rsid w:val="482853D0"/>
    <w:rsid w:val="484130D8"/>
    <w:rsid w:val="487B2E45"/>
    <w:rsid w:val="488419C4"/>
    <w:rsid w:val="48B53D5E"/>
    <w:rsid w:val="48BA7693"/>
    <w:rsid w:val="48E1614C"/>
    <w:rsid w:val="49463453"/>
    <w:rsid w:val="495D2A63"/>
    <w:rsid w:val="4962490E"/>
    <w:rsid w:val="49647D7D"/>
    <w:rsid w:val="49C21F60"/>
    <w:rsid w:val="4A2B46A6"/>
    <w:rsid w:val="4A43504F"/>
    <w:rsid w:val="4A77471A"/>
    <w:rsid w:val="4A8325B4"/>
    <w:rsid w:val="4A843E98"/>
    <w:rsid w:val="4AFD3FE5"/>
    <w:rsid w:val="4B2F5D46"/>
    <w:rsid w:val="4BAB57EF"/>
    <w:rsid w:val="4C462B7D"/>
    <w:rsid w:val="4C653FA5"/>
    <w:rsid w:val="4C7A2F8A"/>
    <w:rsid w:val="4C9452B1"/>
    <w:rsid w:val="4CB4602F"/>
    <w:rsid w:val="4CC0037C"/>
    <w:rsid w:val="4CF3001A"/>
    <w:rsid w:val="4CF46F70"/>
    <w:rsid w:val="4DA802B3"/>
    <w:rsid w:val="4DCA28A4"/>
    <w:rsid w:val="4DD116C7"/>
    <w:rsid w:val="4E013DEC"/>
    <w:rsid w:val="4E9632DF"/>
    <w:rsid w:val="4EB073B6"/>
    <w:rsid w:val="4EC67983"/>
    <w:rsid w:val="4EC866B8"/>
    <w:rsid w:val="4EE541A0"/>
    <w:rsid w:val="4FB335BE"/>
    <w:rsid w:val="50081462"/>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567E33"/>
    <w:rsid w:val="57935C2B"/>
    <w:rsid w:val="579B705F"/>
    <w:rsid w:val="57AE0B41"/>
    <w:rsid w:val="57C57028"/>
    <w:rsid w:val="57CC4E98"/>
    <w:rsid w:val="57E16138"/>
    <w:rsid w:val="580F5323"/>
    <w:rsid w:val="58331046"/>
    <w:rsid w:val="585B1535"/>
    <w:rsid w:val="586104BF"/>
    <w:rsid w:val="58815BB6"/>
    <w:rsid w:val="58F15E5A"/>
    <w:rsid w:val="591A6C49"/>
    <w:rsid w:val="59861649"/>
    <w:rsid w:val="5999137D"/>
    <w:rsid w:val="5A017314"/>
    <w:rsid w:val="5A0D0A2D"/>
    <w:rsid w:val="5A3918D1"/>
    <w:rsid w:val="5A5257C7"/>
    <w:rsid w:val="5A545413"/>
    <w:rsid w:val="5A912E85"/>
    <w:rsid w:val="5A9F4BAA"/>
    <w:rsid w:val="5AC2519E"/>
    <w:rsid w:val="5B114D75"/>
    <w:rsid w:val="5BA612DD"/>
    <w:rsid w:val="5BA65FD3"/>
    <w:rsid w:val="5BAC183B"/>
    <w:rsid w:val="5BE65BED"/>
    <w:rsid w:val="5C4F45D9"/>
    <w:rsid w:val="5C7435C7"/>
    <w:rsid w:val="5CB5143D"/>
    <w:rsid w:val="5CBD5382"/>
    <w:rsid w:val="5CFB2509"/>
    <w:rsid w:val="5D7C6FEB"/>
    <w:rsid w:val="5DCA3BC2"/>
    <w:rsid w:val="5DCD3D84"/>
    <w:rsid w:val="5E156CE8"/>
    <w:rsid w:val="5E714676"/>
    <w:rsid w:val="5E865978"/>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3C1282"/>
    <w:rsid w:val="644D4E28"/>
    <w:rsid w:val="64793D54"/>
    <w:rsid w:val="64846AFF"/>
    <w:rsid w:val="65C8066C"/>
    <w:rsid w:val="65F2282A"/>
    <w:rsid w:val="66544FA9"/>
    <w:rsid w:val="665D0DC8"/>
    <w:rsid w:val="66753360"/>
    <w:rsid w:val="66F61BBC"/>
    <w:rsid w:val="670D06CD"/>
    <w:rsid w:val="672656D9"/>
    <w:rsid w:val="67565C7E"/>
    <w:rsid w:val="675954A1"/>
    <w:rsid w:val="67696832"/>
    <w:rsid w:val="67A46A60"/>
    <w:rsid w:val="67A665F9"/>
    <w:rsid w:val="67B05F5B"/>
    <w:rsid w:val="67D77C40"/>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9D65CD5"/>
    <w:rsid w:val="6A2904FB"/>
    <w:rsid w:val="6A2C1D99"/>
    <w:rsid w:val="6ADA4CF4"/>
    <w:rsid w:val="6B167C88"/>
    <w:rsid w:val="6B6C68F1"/>
    <w:rsid w:val="6BC50BD6"/>
    <w:rsid w:val="6BD74428"/>
    <w:rsid w:val="6C07486C"/>
    <w:rsid w:val="6CC44C93"/>
    <w:rsid w:val="6CFC5A53"/>
    <w:rsid w:val="6D4249BD"/>
    <w:rsid w:val="6D5239D7"/>
    <w:rsid w:val="6D8048D6"/>
    <w:rsid w:val="6DA73C10"/>
    <w:rsid w:val="6DD76181"/>
    <w:rsid w:val="6DF77C1C"/>
    <w:rsid w:val="6E0E3C8F"/>
    <w:rsid w:val="6E354F33"/>
    <w:rsid w:val="6EF14DCE"/>
    <w:rsid w:val="6EF235B1"/>
    <w:rsid w:val="6F5002D8"/>
    <w:rsid w:val="6FCD69DE"/>
    <w:rsid w:val="700D38BA"/>
    <w:rsid w:val="702A75CC"/>
    <w:rsid w:val="70D54F38"/>
    <w:rsid w:val="713C4FB8"/>
    <w:rsid w:val="71A05546"/>
    <w:rsid w:val="71AA5D0F"/>
    <w:rsid w:val="71E5623C"/>
    <w:rsid w:val="722E5CA0"/>
    <w:rsid w:val="724F304C"/>
    <w:rsid w:val="72593834"/>
    <w:rsid w:val="725B71E8"/>
    <w:rsid w:val="72A75159"/>
    <w:rsid w:val="73210070"/>
    <w:rsid w:val="73474106"/>
    <w:rsid w:val="738A025C"/>
    <w:rsid w:val="748B40F7"/>
    <w:rsid w:val="74BD640F"/>
    <w:rsid w:val="758A339B"/>
    <w:rsid w:val="759060C1"/>
    <w:rsid w:val="75964A50"/>
    <w:rsid w:val="75C225F2"/>
    <w:rsid w:val="7625601A"/>
    <w:rsid w:val="76292D9B"/>
    <w:rsid w:val="76366479"/>
    <w:rsid w:val="763C15B6"/>
    <w:rsid w:val="76593F16"/>
    <w:rsid w:val="767C78F2"/>
    <w:rsid w:val="76A005BE"/>
    <w:rsid w:val="76C770D1"/>
    <w:rsid w:val="76D35A76"/>
    <w:rsid w:val="772E0EFE"/>
    <w:rsid w:val="7743072A"/>
    <w:rsid w:val="77541B63"/>
    <w:rsid w:val="7758279B"/>
    <w:rsid w:val="779D6084"/>
    <w:rsid w:val="779D7E32"/>
    <w:rsid w:val="77D31AA6"/>
    <w:rsid w:val="77E96D32"/>
    <w:rsid w:val="781406A8"/>
    <w:rsid w:val="782D565A"/>
    <w:rsid w:val="784547D6"/>
    <w:rsid w:val="78463A7B"/>
    <w:rsid w:val="789B408A"/>
    <w:rsid w:val="78D60608"/>
    <w:rsid w:val="793D7990"/>
    <w:rsid w:val="793F2F4F"/>
    <w:rsid w:val="795175A4"/>
    <w:rsid w:val="798B24E5"/>
    <w:rsid w:val="79CF4DFE"/>
    <w:rsid w:val="7A141D64"/>
    <w:rsid w:val="7A770D9F"/>
    <w:rsid w:val="7AB0596B"/>
    <w:rsid w:val="7AFB1A3F"/>
    <w:rsid w:val="7B0914F7"/>
    <w:rsid w:val="7B3D1E83"/>
    <w:rsid w:val="7B827A6B"/>
    <w:rsid w:val="7BC2430B"/>
    <w:rsid w:val="7BF137BA"/>
    <w:rsid w:val="7BF30969"/>
    <w:rsid w:val="7C1102ED"/>
    <w:rsid w:val="7C2428D0"/>
    <w:rsid w:val="7C4B2553"/>
    <w:rsid w:val="7CA23153"/>
    <w:rsid w:val="7CDF0622"/>
    <w:rsid w:val="7D313E4E"/>
    <w:rsid w:val="7D3717EE"/>
    <w:rsid w:val="7D4626E5"/>
    <w:rsid w:val="7D4E3432"/>
    <w:rsid w:val="7D5907B2"/>
    <w:rsid w:val="7DA83819"/>
    <w:rsid w:val="7E2F7976"/>
    <w:rsid w:val="7E7F44AE"/>
    <w:rsid w:val="7ECC4309"/>
    <w:rsid w:val="7F6E0A32"/>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4">
    <w:name w:val="Body Text"/>
    <w:basedOn w:val="1"/>
    <w:qFormat/>
    <w:uiPriority w:val="0"/>
    <w:pPr>
      <w:jc w:val="center"/>
    </w:pPr>
    <w:rPr>
      <w:rFonts w:eastAsia="仿宋_GB2312"/>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Typewriter"/>
    <w:qFormat/>
    <w:uiPriority w:val="0"/>
    <w:rPr>
      <w:rFonts w:ascii="宋体" w:hAnsi="宋体" w:eastAsia="宋体" w:cs="宋体"/>
      <w:sz w:val="24"/>
      <w:szCs w:val="24"/>
    </w:rPr>
  </w:style>
  <w:style w:type="character" w:styleId="11">
    <w:name w:val="Hyperlink"/>
    <w:unhideWhenUsed/>
    <w:qFormat/>
    <w:uiPriority w:val="99"/>
    <w:rPr>
      <w:color w:val="0000FF"/>
      <w:u w:val="single"/>
    </w:rPr>
  </w:style>
  <w:style w:type="paragraph" w:customStyle="1" w:styleId="12">
    <w:name w:val="普通文字"/>
    <w:basedOn w:val="1"/>
    <w:next w:val="1"/>
    <w:qFormat/>
    <w:uiPriority w:val="0"/>
    <w:rPr>
      <w:rFonts w:ascii="宋体" w:hAnsi="Times New Roman" w:eastAsia="宋体"/>
      <w:kern w:val="0"/>
      <w:sz w:val="24"/>
      <w:szCs w:val="20"/>
      <w:u w:color="00000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19473</Words>
  <Characters>20126</Characters>
  <Lines>156</Lines>
  <Paragraphs>44</Paragraphs>
  <TotalTime>4</TotalTime>
  <ScaleCrop>false</ScaleCrop>
  <LinksUpToDate>false</LinksUpToDate>
  <CharactersWithSpaces>20751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2022-04-02T07:14:00Z</dcterms:created>
  <dc:creator>永乐</dc:creator>
  <cp:lastModifiedBy>梁鑫晨</cp:lastModifiedBy>
  <cp:lastPrinted>2023-05-16T00:34:00Z</cp:lastPrinted>
  <dcterms:modified xsi:type="dcterms:W3CDTF">2023-06-01T11:10:52Z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425223680_cloud</vt:lpwstr>
  </property>
  <property fmtid="{D5CDD505-2E9C-101B-9397-08002B2CF9AE}" pid="4" name="ICV">
    <vt:lpwstr>AB31D31F0467460389EBC1E77189B977</vt:lpwstr>
  </property>
</Properties>
</file>